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3416E" w:rsidR="00D436C2" w:rsidP="00DB7395" w:rsidRDefault="00D436C2" w14:paraId="41173A84" w14:textId="77777777">
      <w:pPr>
        <w:pStyle w:val="naislab"/>
        <w:spacing w:before="0" w:after="0"/>
        <w:ind w:firstLine="720"/>
        <w:rPr>
          <w:sz w:val="28"/>
          <w:szCs w:val="28"/>
        </w:rPr>
      </w:pPr>
    </w:p>
    <w:p w:rsidRPr="0003416E" w:rsidR="007116C7" w:rsidP="00DB7395" w:rsidRDefault="007116C7" w14:paraId="332CB06C" w14:textId="77777777">
      <w:pPr>
        <w:pStyle w:val="naislab"/>
        <w:spacing w:before="0" w:after="0"/>
        <w:ind w:firstLine="720"/>
        <w:rPr>
          <w:sz w:val="28"/>
          <w:szCs w:val="28"/>
        </w:rPr>
      </w:pPr>
      <w:r w:rsidRPr="0003416E">
        <w:rPr>
          <w:sz w:val="28"/>
          <w:szCs w:val="28"/>
        </w:rPr>
        <w:t> </w:t>
      </w:r>
    </w:p>
    <w:p w:rsidRPr="0003416E" w:rsidR="007116C7" w:rsidP="00C11A4E" w:rsidRDefault="007116C7" w14:paraId="5478EA3D" w14:textId="77777777">
      <w:pPr>
        <w:pStyle w:val="naisnod"/>
        <w:spacing w:before="0" w:after="0"/>
        <w:ind w:firstLine="720"/>
        <w:rPr>
          <w:sz w:val="28"/>
          <w:szCs w:val="28"/>
        </w:rPr>
      </w:pPr>
      <w:r w:rsidRPr="0003416E">
        <w:rPr>
          <w:sz w:val="28"/>
          <w:szCs w:val="28"/>
        </w:rPr>
        <w:t>Izziņa par atzinumos sniegtajiem iebildumiem</w:t>
      </w:r>
    </w:p>
    <w:p w:rsidRPr="0003416E" w:rsidR="007116C7" w:rsidP="00C11A4E" w:rsidRDefault="007116C7" w14:paraId="3DBEF92E" w14:textId="77777777">
      <w:pPr>
        <w:pStyle w:val="naisf"/>
        <w:spacing w:before="0" w:after="0"/>
        <w:ind w:firstLine="720"/>
        <w:jc w:val="center"/>
      </w:pPr>
    </w:p>
    <w:tbl>
      <w:tblPr>
        <w:tblW w:w="0" w:type="auto"/>
        <w:jc w:val="center"/>
        <w:tblLook w:val="00A0" w:firstRow="1" w:lastRow="0" w:firstColumn="1" w:lastColumn="0" w:noHBand="0" w:noVBand="0"/>
      </w:tblPr>
      <w:tblGrid>
        <w:gridCol w:w="10632"/>
      </w:tblGrid>
      <w:tr w:rsidRPr="0003416E" w:rsidR="00DE5C30" w:rsidTr="003C477D" w14:paraId="0716C01F" w14:textId="77777777">
        <w:trPr>
          <w:jc w:val="center"/>
        </w:trPr>
        <w:tc>
          <w:tcPr>
            <w:tcW w:w="10632" w:type="dxa"/>
            <w:tcBorders>
              <w:bottom w:val="single" w:color="000000" w:sz="6" w:space="0"/>
            </w:tcBorders>
          </w:tcPr>
          <w:p w:rsidR="007116C7" w:rsidP="00C11A4E" w:rsidRDefault="005847B3" w14:paraId="6DE3990C" w14:textId="5FAA3BA0">
            <w:pPr>
              <w:jc w:val="center"/>
              <w:rPr>
                <w:b/>
                <w:sz w:val="28"/>
              </w:rPr>
            </w:pPr>
            <w:r>
              <w:rPr>
                <w:b/>
                <w:sz w:val="28"/>
              </w:rPr>
              <w:t xml:space="preserve">Par </w:t>
            </w:r>
            <w:r w:rsidR="00444F9C">
              <w:rPr>
                <w:b/>
                <w:sz w:val="28"/>
              </w:rPr>
              <w:t>Ministru kabineta noteikumu projektu</w:t>
            </w:r>
          </w:p>
          <w:p w:rsidRPr="0003416E" w:rsidR="00444F9C" w:rsidP="00CE1A71" w:rsidRDefault="00444F9C" w14:paraId="16C7B927" w14:textId="641DBA80">
            <w:pPr>
              <w:jc w:val="center"/>
              <w:rPr>
                <w:b/>
              </w:rPr>
            </w:pPr>
            <w:r>
              <w:rPr>
                <w:b/>
                <w:sz w:val="28"/>
              </w:rPr>
              <w:t>“Grozījum</w:t>
            </w:r>
            <w:r w:rsidR="004E567F">
              <w:rPr>
                <w:b/>
                <w:sz w:val="28"/>
              </w:rPr>
              <w:t>i</w:t>
            </w:r>
            <w:r>
              <w:rPr>
                <w:b/>
                <w:sz w:val="28"/>
              </w:rPr>
              <w:t xml:space="preserve"> Ministru kabineta </w:t>
            </w:r>
            <w:r w:rsidR="005847B3">
              <w:rPr>
                <w:b/>
                <w:bCs/>
                <w:sz w:val="28"/>
                <w:szCs w:val="28"/>
              </w:rPr>
              <w:t>2016</w:t>
            </w:r>
            <w:r w:rsidR="00CE1A71">
              <w:rPr>
                <w:b/>
                <w:bCs/>
                <w:sz w:val="28"/>
                <w:szCs w:val="28"/>
              </w:rPr>
              <w:t>. </w:t>
            </w:r>
            <w:r w:rsidRPr="004E567F" w:rsidR="004E567F">
              <w:rPr>
                <w:b/>
                <w:bCs/>
                <w:sz w:val="28"/>
                <w:szCs w:val="28"/>
              </w:rPr>
              <w:t xml:space="preserve">gada </w:t>
            </w:r>
            <w:r w:rsidR="005847B3">
              <w:rPr>
                <w:b/>
                <w:bCs/>
                <w:sz w:val="28"/>
                <w:szCs w:val="28"/>
              </w:rPr>
              <w:t>1</w:t>
            </w:r>
            <w:r w:rsidR="00CE1A71">
              <w:rPr>
                <w:b/>
                <w:bCs/>
                <w:sz w:val="28"/>
                <w:szCs w:val="28"/>
              </w:rPr>
              <w:t>5. jūlija</w:t>
            </w:r>
            <w:r w:rsidRPr="004E567F" w:rsidR="004E567F">
              <w:rPr>
                <w:b/>
                <w:bCs/>
                <w:sz w:val="28"/>
                <w:szCs w:val="28"/>
              </w:rPr>
              <w:t xml:space="preserve"> noteikumos Nr.</w:t>
            </w:r>
            <w:r w:rsidR="00CE1A71">
              <w:rPr>
                <w:b/>
                <w:bCs/>
                <w:sz w:val="28"/>
                <w:szCs w:val="28"/>
              </w:rPr>
              <w:t> 472</w:t>
            </w:r>
            <w:r w:rsidRPr="004E567F" w:rsidR="004E567F">
              <w:rPr>
                <w:b/>
                <w:bCs/>
                <w:sz w:val="28"/>
                <w:szCs w:val="28"/>
              </w:rPr>
              <w:t> “</w:t>
            </w:r>
            <w:r w:rsidR="00CE1A71">
              <w:rPr>
                <w:b/>
                <w:bCs/>
                <w:sz w:val="28"/>
                <w:szCs w:val="28"/>
              </w:rPr>
              <w:t>Publiskās lietošanas dzelzceļa infrastruktūras jaudas sadales noteikumi</w:t>
            </w:r>
            <w:r w:rsidR="005847B3">
              <w:rPr>
                <w:b/>
                <w:bCs/>
                <w:sz w:val="28"/>
                <w:szCs w:val="28"/>
              </w:rPr>
              <w:t>””</w:t>
            </w:r>
          </w:p>
        </w:tc>
      </w:tr>
    </w:tbl>
    <w:p w:rsidRPr="0003416E" w:rsidR="007B4C0F" w:rsidP="00DB7395" w:rsidRDefault="007B4C0F" w14:paraId="2319BA31" w14:textId="5185D677">
      <w:pPr>
        <w:pStyle w:val="naisf"/>
        <w:spacing w:before="0" w:after="0"/>
        <w:ind w:firstLine="720"/>
      </w:pPr>
    </w:p>
    <w:p w:rsidRPr="0003416E" w:rsidR="007B4C0F" w:rsidP="00184479" w:rsidRDefault="007B4C0F" w14:paraId="2D08B568" w14:textId="77777777">
      <w:pPr>
        <w:pStyle w:val="naisf"/>
        <w:spacing w:before="0" w:after="0"/>
        <w:ind w:firstLine="0"/>
        <w:jc w:val="center"/>
        <w:rPr>
          <w:b/>
        </w:rPr>
      </w:pPr>
      <w:r w:rsidRPr="0003416E">
        <w:rPr>
          <w:b/>
        </w:rPr>
        <w:t xml:space="preserve">I. Jautājumi, par kuriem saskaņošanā </w:t>
      </w:r>
      <w:r w:rsidRPr="0003416E" w:rsidR="00134188">
        <w:rPr>
          <w:b/>
        </w:rPr>
        <w:t xml:space="preserve">vienošanās </w:t>
      </w:r>
      <w:r w:rsidRPr="0003416E">
        <w:rPr>
          <w:b/>
        </w:rPr>
        <w:t>nav panākta</w:t>
      </w:r>
    </w:p>
    <w:p w:rsidRPr="0003416E" w:rsidR="00960852" w:rsidP="00DB7395" w:rsidRDefault="00960852" w14:paraId="5DA66FF0" w14:textId="77777777">
      <w:pPr>
        <w:pStyle w:val="naisf"/>
        <w:spacing w:before="0" w:after="0"/>
        <w:ind w:firstLine="720"/>
      </w:pPr>
    </w:p>
    <w:tbl>
      <w:tblPr>
        <w:tblW w:w="14451"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17"/>
        <w:gridCol w:w="3086"/>
        <w:gridCol w:w="3118"/>
        <w:gridCol w:w="2469"/>
        <w:gridCol w:w="2301"/>
        <w:gridCol w:w="2660"/>
      </w:tblGrid>
      <w:tr w:rsidRPr="0003416E" w:rsidR="0003416E" w:rsidTr="00546699" w14:paraId="7DF34FB6" w14:textId="77777777">
        <w:tc>
          <w:tcPr>
            <w:tcW w:w="817"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03416E" w:rsidR="005F4BFD" w:rsidP="008A30D5" w:rsidRDefault="005F4BFD" w14:paraId="7D3FA569" w14:textId="77777777">
            <w:pPr>
              <w:pStyle w:val="naisc"/>
              <w:spacing w:before="0" w:after="0"/>
            </w:pPr>
            <w:r w:rsidRPr="0003416E">
              <w:t>Nr. p.k.</w:t>
            </w:r>
          </w:p>
        </w:tc>
        <w:tc>
          <w:tcPr>
            <w:tcW w:w="3086"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03416E" w:rsidR="005F4BFD" w:rsidP="00364BB6" w:rsidRDefault="005F4BFD" w14:paraId="0DB9A748" w14:textId="77777777">
            <w:pPr>
              <w:pStyle w:val="naisc"/>
              <w:spacing w:before="0" w:after="0"/>
              <w:ind w:firstLine="12"/>
            </w:pPr>
            <w:r w:rsidRPr="0003416E">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03416E" w:rsidR="005F4BFD" w:rsidP="00364BB6" w:rsidRDefault="005F4BFD" w14:paraId="26532BA2" w14:textId="77777777">
            <w:pPr>
              <w:pStyle w:val="naisc"/>
              <w:spacing w:before="0" w:after="0"/>
              <w:ind w:right="3"/>
            </w:pPr>
            <w:r w:rsidRPr="0003416E">
              <w:t>Atzinumā norādītais ministrijas (citas institūcijas) iebildums</w:t>
            </w:r>
            <w:r w:rsidRPr="0003416E" w:rsidR="00184479">
              <w:t>,</w:t>
            </w:r>
            <w:r w:rsidRPr="0003416E" w:rsidR="000E5509">
              <w:t xml:space="preserve"> kā arī saskaņošanā papildus izteiktais iebildums</w:t>
            </w:r>
            <w:r w:rsidRPr="0003416E">
              <w:t xml:space="preserve"> par projekta konkrēto punktu (pantu)</w:t>
            </w:r>
          </w:p>
        </w:tc>
        <w:tc>
          <w:tcPr>
            <w:tcW w:w="2469"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03416E" w:rsidR="005F4BFD" w:rsidP="00D231C2" w:rsidRDefault="005F4BFD" w14:paraId="5FBD9B59" w14:textId="77777777">
            <w:pPr>
              <w:pStyle w:val="naisc"/>
              <w:spacing w:before="0" w:after="0"/>
              <w:ind w:firstLine="21"/>
            </w:pPr>
            <w:r w:rsidRPr="0003416E">
              <w:t>Atbildīgās ministrijas pamatojums</w:t>
            </w:r>
            <w:r w:rsidRPr="0003416E" w:rsidR="009307F2">
              <w:t xml:space="preserve"> iebilduma noraidījumam</w:t>
            </w:r>
          </w:p>
        </w:tc>
        <w:tc>
          <w:tcPr>
            <w:tcW w:w="2301" w:type="dxa"/>
            <w:tcBorders>
              <w:top w:val="single" w:color="auto" w:sz="4" w:space="0"/>
              <w:left w:val="single" w:color="auto" w:sz="4" w:space="0"/>
              <w:bottom w:val="single" w:color="auto" w:sz="4" w:space="0"/>
              <w:right w:val="single" w:color="auto" w:sz="4" w:space="0"/>
            </w:tcBorders>
            <w:shd w:val="clear" w:color="auto" w:fill="auto"/>
            <w:vAlign w:val="center"/>
          </w:tcPr>
          <w:p w:rsidRPr="0003416E" w:rsidR="005F4BFD" w:rsidP="00364BB6" w:rsidRDefault="005F4BFD" w14:paraId="07FD99B3" w14:textId="77777777">
            <w:pPr>
              <w:jc w:val="center"/>
            </w:pPr>
            <w:r w:rsidRPr="0003416E">
              <w:t>Atzinuma sniedzēja uzturētais iebildums, ja tas atšķiras no atzinumā norādītā iebilduma pamatojuma</w:t>
            </w:r>
          </w:p>
        </w:tc>
        <w:tc>
          <w:tcPr>
            <w:tcW w:w="2660" w:type="dxa"/>
            <w:tcBorders>
              <w:top w:val="single" w:color="auto" w:sz="4" w:space="0"/>
              <w:left w:val="single" w:color="auto" w:sz="4" w:space="0"/>
              <w:bottom w:val="single" w:color="auto" w:sz="4" w:space="0"/>
            </w:tcBorders>
            <w:shd w:val="clear" w:color="auto" w:fill="auto"/>
            <w:vAlign w:val="center"/>
          </w:tcPr>
          <w:p w:rsidRPr="0003416E" w:rsidR="005F4BFD" w:rsidP="00364BB6" w:rsidRDefault="005F4BFD" w14:paraId="26FE1EE0" w14:textId="77777777">
            <w:pPr>
              <w:jc w:val="center"/>
            </w:pPr>
            <w:r w:rsidRPr="0003416E">
              <w:t>Projekta attiecīgā punkta (panta) galīgā redakcija</w:t>
            </w:r>
          </w:p>
        </w:tc>
      </w:tr>
      <w:tr w:rsidRPr="0003416E" w:rsidR="0003416E" w:rsidTr="00546699" w14:paraId="69A9AAA3" w14:textId="77777777">
        <w:tc>
          <w:tcPr>
            <w:tcW w:w="817" w:type="dxa"/>
            <w:tcBorders>
              <w:top w:val="single" w:color="000000" w:sz="6" w:space="0"/>
              <w:left w:val="single" w:color="000000" w:sz="6" w:space="0"/>
              <w:bottom w:val="single" w:color="auto" w:sz="4" w:space="0"/>
              <w:right w:val="single" w:color="000000" w:sz="6" w:space="0"/>
            </w:tcBorders>
            <w:shd w:val="clear" w:color="auto" w:fill="auto"/>
          </w:tcPr>
          <w:p w:rsidRPr="0003416E" w:rsidR="005F4BFD" w:rsidP="008A30D5" w:rsidRDefault="008A36C9" w14:paraId="7A45FF3C" w14:textId="77777777">
            <w:pPr>
              <w:pStyle w:val="naisc"/>
              <w:spacing w:before="0" w:after="0"/>
              <w:rPr>
                <w:sz w:val="20"/>
                <w:szCs w:val="20"/>
              </w:rPr>
            </w:pPr>
            <w:r w:rsidRPr="0003416E">
              <w:rPr>
                <w:sz w:val="20"/>
                <w:szCs w:val="20"/>
              </w:rPr>
              <w:t>1</w:t>
            </w:r>
          </w:p>
        </w:tc>
        <w:tc>
          <w:tcPr>
            <w:tcW w:w="3086" w:type="dxa"/>
            <w:tcBorders>
              <w:top w:val="single" w:color="000000" w:sz="6" w:space="0"/>
              <w:left w:val="single" w:color="000000" w:sz="6" w:space="0"/>
              <w:bottom w:val="single" w:color="auto" w:sz="4" w:space="0"/>
              <w:right w:val="single" w:color="000000" w:sz="6" w:space="0"/>
            </w:tcBorders>
            <w:shd w:val="clear" w:color="auto" w:fill="auto"/>
          </w:tcPr>
          <w:p w:rsidRPr="0003416E" w:rsidR="005F4BFD" w:rsidP="008A36C9" w:rsidRDefault="008A36C9" w14:paraId="6A5DA664" w14:textId="77777777">
            <w:pPr>
              <w:pStyle w:val="naisc"/>
              <w:spacing w:before="0" w:after="0"/>
              <w:ind w:firstLine="720"/>
              <w:rPr>
                <w:sz w:val="20"/>
                <w:szCs w:val="20"/>
              </w:rPr>
            </w:pPr>
            <w:r w:rsidRPr="0003416E">
              <w:rPr>
                <w:sz w:val="20"/>
                <w:szCs w:val="20"/>
              </w:rPr>
              <w:t>2</w:t>
            </w:r>
          </w:p>
        </w:tc>
        <w:tc>
          <w:tcPr>
            <w:tcW w:w="3118" w:type="dxa"/>
            <w:tcBorders>
              <w:top w:val="single" w:color="000000" w:sz="6" w:space="0"/>
              <w:left w:val="single" w:color="000000" w:sz="6" w:space="0"/>
              <w:bottom w:val="single" w:color="auto" w:sz="4" w:space="0"/>
              <w:right w:val="single" w:color="000000" w:sz="6" w:space="0"/>
            </w:tcBorders>
            <w:shd w:val="clear" w:color="auto" w:fill="auto"/>
          </w:tcPr>
          <w:p w:rsidRPr="0003416E" w:rsidR="005F4BFD" w:rsidP="008A36C9" w:rsidRDefault="008A36C9" w14:paraId="25C54570" w14:textId="77777777">
            <w:pPr>
              <w:pStyle w:val="naisc"/>
              <w:spacing w:before="0" w:after="0"/>
              <w:ind w:firstLine="720"/>
              <w:rPr>
                <w:sz w:val="20"/>
                <w:szCs w:val="20"/>
              </w:rPr>
            </w:pPr>
            <w:r w:rsidRPr="0003416E">
              <w:rPr>
                <w:sz w:val="20"/>
                <w:szCs w:val="20"/>
              </w:rPr>
              <w:t>3</w:t>
            </w:r>
          </w:p>
        </w:tc>
        <w:tc>
          <w:tcPr>
            <w:tcW w:w="2469" w:type="dxa"/>
            <w:tcBorders>
              <w:top w:val="single" w:color="000000" w:sz="6" w:space="0"/>
              <w:left w:val="single" w:color="000000" w:sz="6" w:space="0"/>
              <w:bottom w:val="single" w:color="auto" w:sz="4" w:space="0"/>
              <w:right w:val="single" w:color="000000" w:sz="6" w:space="0"/>
            </w:tcBorders>
            <w:shd w:val="clear" w:color="auto" w:fill="auto"/>
          </w:tcPr>
          <w:p w:rsidRPr="0003416E" w:rsidR="005F4BFD" w:rsidP="00D231C2" w:rsidRDefault="008A36C9" w14:paraId="1C059DE0" w14:textId="77777777">
            <w:pPr>
              <w:pStyle w:val="naisc"/>
              <w:spacing w:before="0" w:after="0"/>
              <w:ind w:firstLine="21"/>
              <w:rPr>
                <w:sz w:val="20"/>
                <w:szCs w:val="20"/>
              </w:rPr>
            </w:pPr>
            <w:r w:rsidRPr="0003416E">
              <w:rPr>
                <w:sz w:val="20"/>
                <w:szCs w:val="20"/>
              </w:rPr>
              <w:t>4</w:t>
            </w:r>
          </w:p>
        </w:tc>
        <w:tc>
          <w:tcPr>
            <w:tcW w:w="2301" w:type="dxa"/>
            <w:tcBorders>
              <w:top w:val="single" w:color="auto" w:sz="4" w:space="0"/>
              <w:left w:val="single" w:color="auto" w:sz="4" w:space="0"/>
              <w:bottom w:val="single" w:color="auto" w:sz="4" w:space="0"/>
              <w:right w:val="single" w:color="auto" w:sz="4" w:space="0"/>
            </w:tcBorders>
            <w:shd w:val="clear" w:color="auto" w:fill="auto"/>
          </w:tcPr>
          <w:p w:rsidRPr="0003416E" w:rsidR="005F4BFD" w:rsidP="008A36C9" w:rsidRDefault="008A36C9" w14:paraId="1E865918" w14:textId="77777777">
            <w:pPr>
              <w:jc w:val="center"/>
              <w:rPr>
                <w:sz w:val="20"/>
                <w:szCs w:val="20"/>
              </w:rPr>
            </w:pPr>
            <w:r w:rsidRPr="0003416E">
              <w:rPr>
                <w:sz w:val="20"/>
                <w:szCs w:val="20"/>
              </w:rPr>
              <w:t>5</w:t>
            </w:r>
          </w:p>
        </w:tc>
        <w:tc>
          <w:tcPr>
            <w:tcW w:w="2660" w:type="dxa"/>
            <w:tcBorders>
              <w:top w:val="single" w:color="auto" w:sz="4" w:space="0"/>
              <w:left w:val="single" w:color="auto" w:sz="4" w:space="0"/>
              <w:bottom w:val="single" w:color="auto" w:sz="4" w:space="0"/>
            </w:tcBorders>
            <w:shd w:val="clear" w:color="auto" w:fill="auto"/>
          </w:tcPr>
          <w:p w:rsidRPr="0003416E" w:rsidR="005F4BFD" w:rsidP="008A36C9" w:rsidRDefault="008A36C9" w14:paraId="2314A278" w14:textId="77777777">
            <w:pPr>
              <w:jc w:val="center"/>
              <w:rPr>
                <w:sz w:val="20"/>
                <w:szCs w:val="20"/>
              </w:rPr>
            </w:pPr>
            <w:r w:rsidRPr="0003416E">
              <w:rPr>
                <w:sz w:val="20"/>
                <w:szCs w:val="20"/>
              </w:rPr>
              <w:t>6</w:t>
            </w:r>
          </w:p>
        </w:tc>
      </w:tr>
    </w:tbl>
    <w:p w:rsidRPr="0003416E" w:rsidR="00E95F4F" w:rsidP="005D67F7" w:rsidRDefault="00E95F4F" w14:paraId="69D59ED1" w14:textId="77777777">
      <w:pPr>
        <w:pStyle w:val="naisf"/>
        <w:spacing w:before="0" w:after="0"/>
        <w:ind w:firstLine="0"/>
        <w:rPr>
          <w:b/>
        </w:rPr>
      </w:pPr>
    </w:p>
    <w:p w:rsidRPr="0003416E" w:rsidR="005D67F7" w:rsidP="005D67F7" w:rsidRDefault="005D67F7" w14:paraId="433A9EE1" w14:textId="7A2F985D">
      <w:pPr>
        <w:pStyle w:val="naisf"/>
        <w:spacing w:before="0" w:after="0"/>
        <w:ind w:firstLine="0"/>
        <w:rPr>
          <w:b/>
        </w:rPr>
      </w:pPr>
      <w:r w:rsidRPr="0003416E">
        <w:rPr>
          <w:b/>
        </w:rPr>
        <w:t>Informācija par elektronisko saskaņošanu</w:t>
      </w:r>
    </w:p>
    <w:p w:rsidR="005D67F7" w:rsidP="005D67F7" w:rsidRDefault="005D67F7" w14:paraId="3AEDE73E" w14:textId="40FC82BA">
      <w:pPr>
        <w:pStyle w:val="naisf"/>
        <w:spacing w:before="0" w:after="0"/>
        <w:ind w:firstLine="0"/>
        <w:rPr>
          <w:b/>
        </w:rPr>
      </w:pPr>
    </w:p>
    <w:p w:rsidRPr="0003416E" w:rsidR="003A2118" w:rsidP="005D67F7" w:rsidRDefault="003A2118" w14:paraId="322FF702" w14:textId="77777777">
      <w:pPr>
        <w:pStyle w:val="naisf"/>
        <w:spacing w:before="0" w:after="0"/>
        <w:ind w:firstLine="0"/>
        <w:rPr>
          <w:b/>
        </w:rPr>
      </w:pPr>
    </w:p>
    <w:tbl>
      <w:tblPr>
        <w:tblW w:w="12572" w:type="dxa"/>
        <w:tblLook w:val="00A0" w:firstRow="1" w:lastRow="0" w:firstColumn="1" w:lastColumn="0" w:noHBand="0" w:noVBand="0"/>
      </w:tblPr>
      <w:tblGrid>
        <w:gridCol w:w="6340"/>
        <w:gridCol w:w="363"/>
        <w:gridCol w:w="839"/>
        <w:gridCol w:w="5030"/>
      </w:tblGrid>
      <w:tr w:rsidRPr="00F435C8" w:rsidR="0061004F" w:rsidTr="00960852" w14:paraId="163E654A" w14:textId="77777777">
        <w:trPr>
          <w:trHeight w:val="272"/>
        </w:trPr>
        <w:tc>
          <w:tcPr>
            <w:tcW w:w="6340" w:type="dxa"/>
          </w:tcPr>
          <w:p w:rsidRPr="0061004F" w:rsidR="007B4C0F" w:rsidP="0061004F" w:rsidRDefault="005D67F7" w14:paraId="53CD16A1" w14:textId="77777777">
            <w:pPr>
              <w:pStyle w:val="naisf"/>
              <w:spacing w:before="0" w:after="0"/>
              <w:ind w:firstLine="0"/>
            </w:pPr>
            <w:r w:rsidRPr="0061004F">
              <w:t>D</w:t>
            </w:r>
            <w:r w:rsidRPr="0061004F" w:rsidR="007B4C0F">
              <w:t>atums</w:t>
            </w:r>
          </w:p>
        </w:tc>
        <w:tc>
          <w:tcPr>
            <w:tcW w:w="6232" w:type="dxa"/>
            <w:gridSpan w:val="3"/>
            <w:tcBorders>
              <w:bottom w:val="single" w:color="auto" w:sz="4" w:space="0"/>
            </w:tcBorders>
          </w:tcPr>
          <w:p w:rsidRPr="00E962F8" w:rsidR="007B4C0F" w:rsidP="00B711DF" w:rsidRDefault="00E962F8" w14:paraId="7DEA07E9" w14:textId="387B195C">
            <w:pPr>
              <w:pStyle w:val="NormalWeb"/>
              <w:spacing w:before="0" w:beforeAutospacing="0" w:after="0" w:afterAutospacing="0"/>
              <w:ind w:firstLine="720"/>
              <w:jc w:val="both"/>
            </w:pPr>
            <w:r w:rsidRPr="00E962F8">
              <w:t>1</w:t>
            </w:r>
            <w:r w:rsidR="008B2CAD">
              <w:t>1</w:t>
            </w:r>
            <w:r w:rsidRPr="00E962F8">
              <w:t>.</w:t>
            </w:r>
            <w:r w:rsidR="00B711DF">
              <w:t>12</w:t>
            </w:r>
            <w:r w:rsidRPr="00E962F8">
              <w:t>.2020.,</w:t>
            </w:r>
            <w:r w:rsidR="00E40DEE">
              <w:t xml:space="preserve"> </w:t>
            </w:r>
            <w:r w:rsidR="0031371B">
              <w:t>09</w:t>
            </w:r>
            <w:r w:rsidR="00EC323F">
              <w:t>.02.2021.</w:t>
            </w:r>
          </w:p>
        </w:tc>
      </w:tr>
      <w:tr w:rsidRPr="00F435C8" w:rsidR="0061004F" w:rsidTr="007C25AF" w14:paraId="2CA25114" w14:textId="77777777">
        <w:trPr>
          <w:trHeight w:val="1402"/>
        </w:trPr>
        <w:tc>
          <w:tcPr>
            <w:tcW w:w="6340" w:type="dxa"/>
          </w:tcPr>
          <w:p w:rsidRPr="00F435C8" w:rsidR="00A0310B" w:rsidP="00F435C8" w:rsidRDefault="00365CC0" w14:paraId="38214775" w14:textId="77777777">
            <w:pPr>
              <w:pStyle w:val="naiskr"/>
              <w:spacing w:before="0" w:after="0"/>
              <w:jc w:val="both"/>
            </w:pPr>
            <w:r w:rsidRPr="00F435C8">
              <w:t>Saskaņošanas dalībnieki</w:t>
            </w:r>
          </w:p>
          <w:p w:rsidRPr="00F435C8" w:rsidR="007B4C0F" w:rsidP="00F435C8" w:rsidRDefault="007B4C0F" w14:paraId="16CD7E79" w14:textId="2D24D224">
            <w:pPr>
              <w:tabs>
                <w:tab w:val="left" w:pos="1440"/>
              </w:tabs>
              <w:jc w:val="both"/>
            </w:pPr>
          </w:p>
        </w:tc>
        <w:tc>
          <w:tcPr>
            <w:tcW w:w="6232" w:type="dxa"/>
            <w:gridSpan w:val="3"/>
          </w:tcPr>
          <w:p w:rsidRPr="00DD337A" w:rsidR="007B4C0F" w:rsidP="00B711DF" w:rsidRDefault="00037B68" w14:paraId="71B57EBE" w14:textId="0120FD0E">
            <w:pPr>
              <w:pStyle w:val="NormalWeb"/>
              <w:jc w:val="both"/>
            </w:pPr>
            <w:r w:rsidRPr="00DD337A">
              <w:t xml:space="preserve">Finanšu ministrija, </w:t>
            </w:r>
            <w:r w:rsidRPr="00DD337A" w:rsidR="004C55FE">
              <w:t>Tieslietu ministrija,</w:t>
            </w:r>
            <w:r w:rsidR="00C11A4E">
              <w:t xml:space="preserve"> </w:t>
            </w:r>
            <w:r w:rsidRPr="00DD337A" w:rsidR="004C55FE">
              <w:t xml:space="preserve">Latvijas Brīvo arodbiedrību </w:t>
            </w:r>
            <w:r w:rsidRPr="00447EFD" w:rsidR="004C55FE">
              <w:t>savienība</w:t>
            </w:r>
            <w:r w:rsidRPr="00447EFD" w:rsidR="00B711DF">
              <w:t>, Konkurences padome</w:t>
            </w:r>
          </w:p>
        </w:tc>
      </w:tr>
      <w:tr w:rsidRPr="00F435C8" w:rsidR="0061004F" w:rsidTr="00960852" w14:paraId="05BAB749" w14:textId="77777777">
        <w:trPr>
          <w:trHeight w:val="278"/>
        </w:trPr>
        <w:tc>
          <w:tcPr>
            <w:tcW w:w="6703" w:type="dxa"/>
            <w:gridSpan w:val="2"/>
          </w:tcPr>
          <w:p w:rsidRPr="00DD337A" w:rsidR="007B4C0F" w:rsidP="00F435C8" w:rsidRDefault="00365CC0" w14:paraId="7B387161" w14:textId="5E6DDF78">
            <w:pPr>
              <w:pStyle w:val="naiskr"/>
              <w:spacing w:before="0" w:after="0"/>
              <w:jc w:val="both"/>
            </w:pPr>
            <w:r w:rsidRPr="00DD337A">
              <w:t xml:space="preserve">Saskaņošanas dalībnieki </w:t>
            </w:r>
            <w:r w:rsidRPr="00DD337A" w:rsidR="007B4C0F">
              <w:t>izskatīja</w:t>
            </w:r>
            <w:r w:rsidRPr="00DD337A" w:rsidR="005D67F7">
              <w:t xml:space="preserve"> šādu ministriju </w:t>
            </w:r>
            <w:r w:rsidRPr="00DD337A" w:rsidR="003E4C3F">
              <w:t>(c</w:t>
            </w:r>
            <w:r w:rsidRPr="00DD337A" w:rsidR="005D67F7">
              <w:t>itu institūciju</w:t>
            </w:r>
            <w:r w:rsidRPr="00DD337A" w:rsidR="003E4C3F">
              <w:t>)</w:t>
            </w:r>
            <w:r w:rsidRPr="00DD337A" w:rsidR="005D67F7">
              <w:t xml:space="preserve"> iebildumus</w:t>
            </w:r>
            <w:r w:rsidRPr="00DD337A" w:rsidR="009011C4">
              <w:t xml:space="preserve"> un priekšlikumus</w:t>
            </w:r>
          </w:p>
        </w:tc>
        <w:tc>
          <w:tcPr>
            <w:tcW w:w="839" w:type="dxa"/>
          </w:tcPr>
          <w:p w:rsidRPr="00DD337A" w:rsidR="007B4C0F" w:rsidP="00F435C8" w:rsidRDefault="007B4C0F" w14:paraId="3F629CBC" w14:textId="77777777">
            <w:pPr>
              <w:pStyle w:val="naiskr"/>
              <w:spacing w:before="0" w:after="0"/>
              <w:ind w:firstLine="720"/>
              <w:jc w:val="both"/>
            </w:pPr>
          </w:p>
        </w:tc>
        <w:tc>
          <w:tcPr>
            <w:tcW w:w="5030" w:type="dxa"/>
          </w:tcPr>
          <w:p w:rsidRPr="00DD337A" w:rsidR="007B4C0F" w:rsidP="00F435C8" w:rsidRDefault="007B4C0F" w14:paraId="4523B3EF" w14:textId="77777777">
            <w:pPr>
              <w:pStyle w:val="naiskr"/>
              <w:spacing w:before="0" w:after="0"/>
              <w:ind w:firstLine="12"/>
              <w:jc w:val="both"/>
            </w:pPr>
          </w:p>
        </w:tc>
      </w:tr>
      <w:tr w:rsidRPr="00F435C8" w:rsidR="0061004F" w:rsidTr="00960852" w14:paraId="2C190321" w14:textId="77777777">
        <w:trPr>
          <w:trHeight w:val="454"/>
        </w:trPr>
        <w:tc>
          <w:tcPr>
            <w:tcW w:w="6703" w:type="dxa"/>
            <w:gridSpan w:val="2"/>
          </w:tcPr>
          <w:p w:rsidRPr="00DD337A" w:rsidR="003C27A2" w:rsidP="00F435C8" w:rsidRDefault="003C27A2" w14:paraId="67162EBA" w14:textId="77777777">
            <w:pPr>
              <w:pStyle w:val="naiskr"/>
              <w:spacing w:before="0" w:after="0"/>
              <w:ind w:firstLine="720"/>
              <w:jc w:val="both"/>
            </w:pPr>
            <w:r w:rsidRPr="00DD337A">
              <w:t>  </w:t>
            </w:r>
          </w:p>
        </w:tc>
        <w:tc>
          <w:tcPr>
            <w:tcW w:w="5869" w:type="dxa"/>
            <w:gridSpan w:val="2"/>
            <w:tcBorders>
              <w:top w:val="single" w:color="000000" w:sz="6" w:space="0"/>
              <w:bottom w:val="single" w:color="000000" w:sz="6" w:space="0"/>
            </w:tcBorders>
          </w:tcPr>
          <w:p w:rsidRPr="00DD337A" w:rsidR="003C27A2" w:rsidP="0061004F" w:rsidRDefault="00F0142A" w14:paraId="590B9326" w14:textId="2BE5A291">
            <w:pPr>
              <w:pStyle w:val="NormalWeb"/>
              <w:spacing w:before="0" w:beforeAutospacing="0" w:after="0" w:afterAutospacing="0"/>
              <w:jc w:val="both"/>
            </w:pPr>
            <w:r>
              <w:t>Tieslietu ministrija</w:t>
            </w:r>
            <w:r w:rsidR="00EC323F">
              <w:t>, Satiksmes ministrija.</w:t>
            </w:r>
          </w:p>
        </w:tc>
      </w:tr>
      <w:tr w:rsidRPr="00F435C8" w:rsidR="0061004F" w:rsidTr="00960852" w14:paraId="672CE15E" w14:textId="77777777">
        <w:trPr>
          <w:trHeight w:val="454"/>
        </w:trPr>
        <w:tc>
          <w:tcPr>
            <w:tcW w:w="12572" w:type="dxa"/>
            <w:gridSpan w:val="4"/>
          </w:tcPr>
          <w:p w:rsidRPr="00DD337A" w:rsidR="007B4C0F" w:rsidP="00F435C8" w:rsidRDefault="007B4C0F" w14:paraId="5699D929" w14:textId="77777777">
            <w:pPr>
              <w:pStyle w:val="naisc"/>
              <w:spacing w:before="0" w:after="0"/>
              <w:jc w:val="both"/>
            </w:pPr>
          </w:p>
        </w:tc>
      </w:tr>
      <w:tr w:rsidRPr="00F435C8" w:rsidR="0061004F" w:rsidTr="00960852" w14:paraId="0BAD432E" w14:textId="77777777">
        <w:trPr>
          <w:trHeight w:val="807"/>
        </w:trPr>
        <w:tc>
          <w:tcPr>
            <w:tcW w:w="6703" w:type="dxa"/>
            <w:gridSpan w:val="2"/>
          </w:tcPr>
          <w:p w:rsidRPr="00DD337A" w:rsidR="007B4C0F" w:rsidP="00F435C8" w:rsidRDefault="007B4C0F" w14:paraId="3FCECD6F" w14:textId="77777777">
            <w:pPr>
              <w:pStyle w:val="naiskr"/>
              <w:spacing w:before="0" w:after="0"/>
              <w:jc w:val="both"/>
            </w:pPr>
            <w:r w:rsidRPr="00DD337A">
              <w:lastRenderedPageBreak/>
              <w:t>Ministrijas (citas institūcijas), kuras nav ieradušās uz sanāksmi vai kuras nav atbildējušas uz uzaicinājumu piedalīties elektroniskajā saskaņošanā</w:t>
            </w:r>
          </w:p>
        </w:tc>
        <w:tc>
          <w:tcPr>
            <w:tcW w:w="5869" w:type="dxa"/>
            <w:gridSpan w:val="2"/>
          </w:tcPr>
          <w:p w:rsidRPr="00DD337A" w:rsidR="007B4C0F" w:rsidP="00F435C8" w:rsidRDefault="007B4C0F" w14:paraId="7BABDF95" w14:textId="77777777">
            <w:pPr>
              <w:pStyle w:val="naiskr"/>
              <w:spacing w:before="0" w:after="0"/>
              <w:jc w:val="both"/>
            </w:pPr>
          </w:p>
        </w:tc>
      </w:tr>
      <w:tr w:rsidRPr="00F435C8" w:rsidR="0061004F" w:rsidTr="00960852" w14:paraId="5935E57F" w14:textId="77777777">
        <w:trPr>
          <w:trHeight w:val="262"/>
        </w:trPr>
        <w:tc>
          <w:tcPr>
            <w:tcW w:w="6703" w:type="dxa"/>
            <w:gridSpan w:val="2"/>
          </w:tcPr>
          <w:p w:rsidRPr="00DD337A" w:rsidR="007B4C0F" w:rsidP="00F435C8" w:rsidRDefault="007B4C0F" w14:paraId="10F6EC7E" w14:textId="77777777">
            <w:pPr>
              <w:pStyle w:val="naiskr"/>
              <w:spacing w:before="0" w:after="0"/>
              <w:ind w:firstLine="720"/>
              <w:jc w:val="both"/>
            </w:pPr>
            <w:r w:rsidRPr="00DD337A">
              <w:t>  </w:t>
            </w:r>
          </w:p>
        </w:tc>
        <w:tc>
          <w:tcPr>
            <w:tcW w:w="5869" w:type="dxa"/>
            <w:gridSpan w:val="2"/>
            <w:tcBorders>
              <w:top w:val="single" w:color="000000" w:sz="6" w:space="0"/>
              <w:bottom w:val="single" w:color="000000" w:sz="6" w:space="0"/>
            </w:tcBorders>
          </w:tcPr>
          <w:p w:rsidRPr="00DD337A" w:rsidR="007B4C0F" w:rsidP="0061004F" w:rsidRDefault="007B4C0F" w14:paraId="6BDB5AC3" w14:textId="4A790E03">
            <w:pPr>
              <w:pStyle w:val="naiskr"/>
              <w:spacing w:before="0" w:after="0"/>
              <w:jc w:val="both"/>
            </w:pPr>
          </w:p>
        </w:tc>
      </w:tr>
      <w:tr w:rsidRPr="00DD337A" w:rsidR="0061004F" w:rsidTr="00960852" w14:paraId="6C23A5B3" w14:textId="77777777">
        <w:trPr>
          <w:gridAfter w:val="2"/>
          <w:wAfter w:w="5869" w:type="dxa"/>
          <w:trHeight w:val="262"/>
        </w:trPr>
        <w:tc>
          <w:tcPr>
            <w:tcW w:w="6703" w:type="dxa"/>
            <w:gridSpan w:val="2"/>
          </w:tcPr>
          <w:p w:rsidRPr="00DD337A" w:rsidR="00FF2CEA" w:rsidP="00F435C8" w:rsidRDefault="00FF2CEA" w14:paraId="03B22051" w14:textId="77777777">
            <w:pPr>
              <w:pStyle w:val="naiskr"/>
              <w:spacing w:before="0" w:after="0"/>
              <w:ind w:firstLine="720"/>
              <w:jc w:val="both"/>
            </w:pPr>
            <w:r w:rsidRPr="00DD337A">
              <w:t>  </w:t>
            </w:r>
          </w:p>
        </w:tc>
      </w:tr>
    </w:tbl>
    <w:p w:rsidRPr="00F435C8" w:rsidR="009C28E3" w:rsidP="0061004F" w:rsidRDefault="009C28E3" w14:paraId="6B6952FA" w14:textId="77777777">
      <w:pPr>
        <w:pStyle w:val="naisf"/>
        <w:spacing w:before="0" w:after="0"/>
        <w:ind w:firstLine="720"/>
      </w:pPr>
    </w:p>
    <w:p w:rsidRPr="00F435C8" w:rsidR="007B4C0F" w:rsidP="009011C4" w:rsidRDefault="007B4C0F" w14:paraId="169D038F" w14:textId="77777777">
      <w:pPr>
        <w:pStyle w:val="naisf"/>
        <w:spacing w:before="0" w:after="0"/>
        <w:ind w:firstLine="0"/>
        <w:jc w:val="center"/>
        <w:rPr>
          <w:b/>
        </w:rPr>
      </w:pPr>
      <w:r w:rsidRPr="00F435C8">
        <w:rPr>
          <w:b/>
        </w:rPr>
        <w:t>II. </w:t>
      </w:r>
      <w:r w:rsidRPr="00F435C8" w:rsidR="00134188">
        <w:rPr>
          <w:b/>
        </w:rPr>
        <w:t>Jautājumi, par kuriem saskaņošanā vienošan</w:t>
      </w:r>
      <w:r w:rsidRPr="00F435C8" w:rsidR="00144622">
        <w:rPr>
          <w:b/>
        </w:rPr>
        <w:t>ā</w:t>
      </w:r>
      <w:r w:rsidRPr="00F435C8" w:rsidR="00134188">
        <w:rPr>
          <w:b/>
        </w:rPr>
        <w:t>s ir panākta</w:t>
      </w:r>
    </w:p>
    <w:tbl>
      <w:tblPr>
        <w:tblW w:w="14459" w:type="dxa"/>
        <w:tblInd w:w="-15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1135"/>
        <w:gridCol w:w="2835"/>
        <w:gridCol w:w="4111"/>
        <w:gridCol w:w="2551"/>
        <w:gridCol w:w="3827"/>
      </w:tblGrid>
      <w:tr w:rsidRPr="00F435C8" w:rsidR="0061004F" w:rsidTr="00A8237E" w14:paraId="06A99BE8" w14:textId="77777777">
        <w:tc>
          <w:tcPr>
            <w:tcW w:w="113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F435C8" w:rsidR="00134188" w:rsidP="00F435C8" w:rsidRDefault="00134188" w14:paraId="7473D666" w14:textId="77777777">
            <w:pPr>
              <w:pStyle w:val="naisc"/>
              <w:spacing w:before="0" w:after="0"/>
              <w:jc w:val="both"/>
            </w:pPr>
            <w:r w:rsidRPr="00F435C8">
              <w:t>Nr. p.k.</w:t>
            </w:r>
          </w:p>
        </w:tc>
        <w:tc>
          <w:tcPr>
            <w:tcW w:w="2835"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F435C8" w:rsidR="00134188" w:rsidP="00F435C8" w:rsidRDefault="00134188" w14:paraId="1AF508E8" w14:textId="77777777">
            <w:pPr>
              <w:pStyle w:val="naisc"/>
              <w:spacing w:before="0" w:after="0"/>
              <w:ind w:firstLine="12"/>
              <w:jc w:val="both"/>
            </w:pPr>
            <w:r w:rsidRPr="00F435C8">
              <w:t>Saskaņošanai nosūtītā projekta redakcija (konkrēta punkta (panta) redakcija)</w:t>
            </w:r>
          </w:p>
        </w:tc>
        <w:tc>
          <w:tcPr>
            <w:tcW w:w="411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F435C8" w:rsidR="00134188" w:rsidP="00F435C8" w:rsidRDefault="00134188" w14:paraId="45637DE1" w14:textId="77777777">
            <w:pPr>
              <w:pStyle w:val="naisc"/>
              <w:spacing w:before="0" w:after="0"/>
              <w:ind w:right="3"/>
              <w:jc w:val="both"/>
            </w:pPr>
            <w:r w:rsidRPr="00F435C8">
              <w:t>Atzinumā norādītais ministrijas (citas institūcijas) iebildums, kā arī saskaņošanā papildus izteiktais iebildums par projekta konkrēto punktu (pantu)</w:t>
            </w:r>
          </w:p>
        </w:tc>
        <w:tc>
          <w:tcPr>
            <w:tcW w:w="2551"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F435C8" w:rsidR="00134188" w:rsidP="00F435C8" w:rsidRDefault="00134188" w14:paraId="14E0F32A" w14:textId="77777777">
            <w:pPr>
              <w:pStyle w:val="naisc"/>
              <w:spacing w:before="0" w:after="0"/>
              <w:ind w:firstLine="21"/>
              <w:jc w:val="both"/>
            </w:pPr>
            <w:r w:rsidRPr="00F435C8">
              <w:t>Atbildīgās ministrijas norāde</w:t>
            </w:r>
            <w:r w:rsidRPr="00F435C8" w:rsidR="006C1C48">
              <w:t xml:space="preserve"> par to, ka </w:t>
            </w:r>
            <w:r w:rsidRPr="00F435C8">
              <w:t>iebildums ir ņemts vērā</w:t>
            </w:r>
            <w:r w:rsidRPr="00F435C8" w:rsidR="006455E7">
              <w:t>,</w:t>
            </w:r>
            <w:r w:rsidRPr="00F435C8">
              <w:t xml:space="preserve"> vai </w:t>
            </w:r>
            <w:r w:rsidRPr="00F435C8" w:rsidR="006C1C48">
              <w:t xml:space="preserve">informācija par saskaņošanā </w:t>
            </w:r>
            <w:r w:rsidRPr="00F435C8" w:rsidR="00022B0F">
              <w:t>panākto alternatīvo risinājumu</w:t>
            </w:r>
          </w:p>
        </w:tc>
        <w:tc>
          <w:tcPr>
            <w:tcW w:w="3827" w:type="dxa"/>
            <w:tcBorders>
              <w:top w:val="single" w:color="auto" w:sz="4" w:space="0"/>
              <w:left w:val="single" w:color="auto" w:sz="4" w:space="0"/>
              <w:bottom w:val="single" w:color="auto" w:sz="4" w:space="0"/>
            </w:tcBorders>
            <w:shd w:val="clear" w:color="auto" w:fill="auto"/>
            <w:vAlign w:val="center"/>
          </w:tcPr>
          <w:p w:rsidRPr="00F435C8" w:rsidR="00134188" w:rsidP="00F435C8" w:rsidRDefault="00134188" w14:paraId="14DD3E3E" w14:textId="77777777">
            <w:pPr>
              <w:jc w:val="both"/>
            </w:pPr>
            <w:r w:rsidRPr="00F435C8">
              <w:t>Projekta attiecīgā punkta (panta) galīgā redakcija</w:t>
            </w:r>
          </w:p>
        </w:tc>
      </w:tr>
      <w:tr w:rsidRPr="00F435C8" w:rsidR="0061004F" w:rsidTr="00AC22F1" w14:paraId="007C5D86" w14:textId="77777777">
        <w:trPr>
          <w:trHeight w:val="411"/>
        </w:trPr>
        <w:tc>
          <w:tcPr>
            <w:tcW w:w="1135" w:type="dxa"/>
            <w:tcBorders>
              <w:top w:val="single" w:color="000000" w:sz="6" w:space="0"/>
              <w:left w:val="single" w:color="000000" w:sz="6" w:space="0"/>
              <w:bottom w:val="single" w:color="000000" w:sz="6" w:space="0"/>
              <w:right w:val="single" w:color="000000" w:sz="6" w:space="0"/>
            </w:tcBorders>
            <w:shd w:val="clear" w:color="auto" w:fill="auto"/>
          </w:tcPr>
          <w:p w:rsidRPr="00F435C8" w:rsidR="00134188" w:rsidP="00A174C7" w:rsidRDefault="003B71E0" w14:paraId="33CEBC6B" w14:textId="77777777">
            <w:pPr>
              <w:pStyle w:val="naisc"/>
              <w:spacing w:before="0" w:after="0"/>
            </w:pPr>
            <w:r w:rsidRPr="00F435C8">
              <w:t>1</w:t>
            </w:r>
          </w:p>
        </w:tc>
        <w:tc>
          <w:tcPr>
            <w:tcW w:w="2835" w:type="dxa"/>
            <w:tcBorders>
              <w:top w:val="single" w:color="000000" w:sz="6" w:space="0"/>
              <w:left w:val="single" w:color="000000" w:sz="6" w:space="0"/>
              <w:bottom w:val="single" w:color="000000" w:sz="6" w:space="0"/>
              <w:right w:val="single" w:color="000000" w:sz="6" w:space="0"/>
            </w:tcBorders>
            <w:shd w:val="clear" w:color="auto" w:fill="auto"/>
          </w:tcPr>
          <w:p w:rsidRPr="00F435C8" w:rsidR="00134188" w:rsidP="00A174C7" w:rsidRDefault="00F34AAB" w14:paraId="1D1F23FF" w14:textId="77777777">
            <w:pPr>
              <w:pStyle w:val="naisc"/>
              <w:spacing w:before="0" w:after="0"/>
            </w:pPr>
            <w:r w:rsidRPr="00F435C8">
              <w:t>2</w:t>
            </w:r>
          </w:p>
        </w:tc>
        <w:tc>
          <w:tcPr>
            <w:tcW w:w="4111" w:type="dxa"/>
            <w:tcBorders>
              <w:top w:val="single" w:color="000000" w:sz="6" w:space="0"/>
              <w:left w:val="single" w:color="000000" w:sz="6" w:space="0"/>
              <w:bottom w:val="single" w:color="000000" w:sz="6" w:space="0"/>
              <w:right w:val="single" w:color="000000" w:sz="6" w:space="0"/>
            </w:tcBorders>
            <w:shd w:val="clear" w:color="auto" w:fill="auto"/>
          </w:tcPr>
          <w:p w:rsidRPr="00F435C8" w:rsidR="00134188" w:rsidP="00A174C7" w:rsidRDefault="003B71E0" w14:paraId="4EB4C048" w14:textId="77777777">
            <w:pPr>
              <w:pStyle w:val="naisc"/>
              <w:spacing w:before="0" w:after="0"/>
            </w:pPr>
            <w:r w:rsidRPr="00F435C8">
              <w:t>3</w:t>
            </w:r>
          </w:p>
        </w:tc>
        <w:tc>
          <w:tcPr>
            <w:tcW w:w="2551" w:type="dxa"/>
            <w:tcBorders>
              <w:top w:val="single" w:color="000000" w:sz="6" w:space="0"/>
              <w:left w:val="single" w:color="000000" w:sz="6" w:space="0"/>
              <w:bottom w:val="single" w:color="000000" w:sz="6" w:space="0"/>
              <w:right w:val="single" w:color="000000" w:sz="6" w:space="0"/>
            </w:tcBorders>
            <w:shd w:val="clear" w:color="auto" w:fill="auto"/>
          </w:tcPr>
          <w:p w:rsidRPr="00F435C8" w:rsidR="00134188" w:rsidP="00A174C7" w:rsidRDefault="003B71E0" w14:paraId="07417169" w14:textId="77777777">
            <w:pPr>
              <w:pStyle w:val="naisc"/>
              <w:spacing w:before="0" w:after="0"/>
              <w:ind w:firstLine="34"/>
            </w:pPr>
            <w:r w:rsidRPr="00F435C8">
              <w:t>4</w:t>
            </w:r>
          </w:p>
        </w:tc>
        <w:tc>
          <w:tcPr>
            <w:tcW w:w="3827" w:type="dxa"/>
            <w:tcBorders>
              <w:top w:val="single" w:color="auto" w:sz="4" w:space="0"/>
              <w:left w:val="single" w:color="auto" w:sz="4" w:space="0"/>
              <w:bottom w:val="single" w:color="auto" w:sz="4" w:space="0"/>
            </w:tcBorders>
            <w:shd w:val="clear" w:color="auto" w:fill="auto"/>
          </w:tcPr>
          <w:p w:rsidRPr="00F435C8" w:rsidR="00134188" w:rsidP="00A174C7" w:rsidRDefault="003B71E0" w14:paraId="74A88828" w14:textId="77777777">
            <w:pPr>
              <w:jc w:val="center"/>
            </w:pPr>
            <w:r w:rsidRPr="00F435C8">
              <w:t>5</w:t>
            </w:r>
          </w:p>
        </w:tc>
      </w:tr>
      <w:tr w:rsidRPr="00F435C8" w:rsidR="00CA6B56" w:rsidTr="00A8237E" w14:paraId="6DAC6A5F" w14:textId="77777777">
        <w:tc>
          <w:tcPr>
            <w:tcW w:w="14459" w:type="dxa"/>
            <w:gridSpan w:val="5"/>
            <w:tcBorders>
              <w:left w:val="single" w:color="000000" w:sz="6" w:space="0"/>
              <w:bottom w:val="single" w:color="auto" w:sz="4" w:space="0"/>
            </w:tcBorders>
            <w:shd w:val="clear" w:color="auto" w:fill="auto"/>
          </w:tcPr>
          <w:p w:rsidR="007C25AF" w:rsidP="00A174C7" w:rsidRDefault="00C11A4E" w14:paraId="16DDED62" w14:textId="77777777">
            <w:pPr>
              <w:jc w:val="center"/>
              <w:rPr>
                <w:b/>
              </w:rPr>
            </w:pPr>
            <w:bookmarkStart w:name="_Hlk27570323" w:id="0"/>
            <w:r>
              <w:rPr>
                <w:b/>
              </w:rPr>
              <w:t>Tieslietu ministrija</w:t>
            </w:r>
          </w:p>
          <w:p w:rsidRPr="00D54402" w:rsidR="0013617A" w:rsidP="00B711DF" w:rsidRDefault="00B711DF" w14:paraId="1345892E" w14:textId="31346336">
            <w:pPr>
              <w:jc w:val="center"/>
              <w:rPr>
                <w:bCs/>
                <w:i/>
                <w:iCs/>
              </w:rPr>
            </w:pPr>
            <w:r>
              <w:rPr>
                <w:bCs/>
                <w:i/>
                <w:iCs/>
              </w:rPr>
              <w:t>2020. gada 10</w:t>
            </w:r>
            <w:r w:rsidRPr="00D54402" w:rsidR="00D54402">
              <w:rPr>
                <w:bCs/>
                <w:i/>
                <w:iCs/>
              </w:rPr>
              <w:t>. </w:t>
            </w:r>
            <w:r>
              <w:rPr>
                <w:bCs/>
                <w:i/>
                <w:iCs/>
              </w:rPr>
              <w:t>decembra</w:t>
            </w:r>
            <w:r w:rsidRPr="00D54402" w:rsidR="00D54402">
              <w:rPr>
                <w:bCs/>
                <w:i/>
                <w:iCs/>
              </w:rPr>
              <w:t xml:space="preserve"> atzinums Nr. </w:t>
            </w:r>
            <w:r w:rsidRPr="00B711DF">
              <w:rPr>
                <w:bCs/>
                <w:i/>
                <w:iCs/>
              </w:rPr>
              <w:t>1-9.1/1346</w:t>
            </w:r>
          </w:p>
        </w:tc>
      </w:tr>
      <w:bookmarkEnd w:id="0"/>
      <w:tr w:rsidRPr="00F435C8" w:rsidR="0061004F" w:rsidTr="00A8237E" w14:paraId="584B311F" w14:textId="77777777">
        <w:tc>
          <w:tcPr>
            <w:tcW w:w="1135" w:type="dxa"/>
            <w:tcBorders>
              <w:left w:val="single" w:color="000000" w:sz="6" w:space="0"/>
              <w:bottom w:val="single" w:color="auto" w:sz="4" w:space="0"/>
              <w:right w:val="single" w:color="000000" w:sz="6" w:space="0"/>
            </w:tcBorders>
            <w:shd w:val="clear" w:color="auto" w:fill="auto"/>
          </w:tcPr>
          <w:p w:rsidRPr="00F435C8" w:rsidR="0065430D" w:rsidP="000C6ADE" w:rsidRDefault="0065430D" w14:paraId="358F9327" w14:textId="77777777">
            <w:pPr>
              <w:numPr>
                <w:ilvl w:val="0"/>
                <w:numId w:val="1"/>
              </w:numPr>
              <w:jc w:val="both"/>
            </w:pPr>
          </w:p>
        </w:tc>
        <w:tc>
          <w:tcPr>
            <w:tcW w:w="2835" w:type="dxa"/>
            <w:tcBorders>
              <w:left w:val="single" w:color="000000" w:sz="6" w:space="0"/>
              <w:bottom w:val="single" w:color="auto" w:sz="4" w:space="0"/>
              <w:right w:val="single" w:color="000000" w:sz="6" w:space="0"/>
            </w:tcBorders>
            <w:shd w:val="clear" w:color="auto" w:fill="auto"/>
          </w:tcPr>
          <w:p w:rsidRPr="00F0142A" w:rsidR="0065430D" w:rsidP="00680B44" w:rsidRDefault="00FA1BFF" w14:paraId="600D0107" w14:textId="00ACA666">
            <w:pPr>
              <w:keepLines/>
              <w:shd w:val="clear" w:color="auto" w:fill="FFFFFF"/>
              <w:jc w:val="both"/>
              <w:rPr>
                <w:highlight w:val="yellow"/>
              </w:rPr>
            </w:pPr>
            <w:r w:rsidRPr="00FA1BFF">
              <w:t>Skat</w:t>
            </w:r>
            <w:r>
              <w:t>īt projekta anotācijas I sadaļas 2. aili.</w:t>
            </w:r>
          </w:p>
        </w:tc>
        <w:tc>
          <w:tcPr>
            <w:tcW w:w="4111" w:type="dxa"/>
            <w:tcBorders>
              <w:left w:val="single" w:color="000000" w:sz="6" w:space="0"/>
              <w:bottom w:val="single" w:color="auto" w:sz="4" w:space="0"/>
              <w:right w:val="single" w:color="000000" w:sz="6" w:space="0"/>
            </w:tcBorders>
            <w:shd w:val="clear" w:color="auto" w:fill="auto"/>
          </w:tcPr>
          <w:p w:rsidRPr="003255A7" w:rsidR="003255A7" w:rsidP="003255A7" w:rsidRDefault="003255A7" w14:paraId="2664077B" w14:textId="70B8CE38">
            <w:pPr>
              <w:ind w:right="12"/>
              <w:jc w:val="both"/>
              <w:rPr>
                <w:i/>
              </w:rPr>
            </w:pPr>
            <w:r>
              <w:rPr>
                <w:i/>
              </w:rPr>
              <w:t>1.iebildums:</w:t>
            </w:r>
          </w:p>
          <w:p w:rsidRPr="00FA1BFF" w:rsidR="00680B44" w:rsidP="003255A7" w:rsidRDefault="003255A7" w14:paraId="147C40F6" w14:textId="20B19D2A">
            <w:pPr>
              <w:ind w:left="60" w:right="12"/>
              <w:jc w:val="both"/>
            </w:pPr>
            <w:r>
              <w:t>“</w:t>
            </w:r>
            <w:r w:rsidRPr="00FA1BFF" w:rsidR="00680B44">
              <w:t xml:space="preserve">Norādām, ka projekta anotācijā nav sniegts </w:t>
            </w:r>
            <w:r w:rsidRPr="003255A7" w:rsidR="00680B44">
              <w:rPr>
                <w:u w:val="single"/>
              </w:rPr>
              <w:t>izvērsts</w:t>
            </w:r>
            <w:r w:rsidRPr="00FA1BFF" w:rsidR="00680B44">
              <w:t xml:space="preserve"> pamatojums tām projekta normām, kas neizriet no Eiropas Savienības tiesību aktiem, un tas ir pretrunā Ministru kabineta 2009. gada 15. decembra instrukcijas Nr. 19 “Tiesību akta projekta sākotnējās ietekmes izvērtēšanas kārtība” (turpmāk – instrukcija) 14. punktam. Attiecīgi lūdzam sniegt izvērstu pamatojumu visām projekta normām, kas neizriet no Eiropas Savienības tiesību aktiem. Ja minēto pamatojumu nav iespējams </w:t>
            </w:r>
            <w:r w:rsidRPr="00FA1BFF" w:rsidR="00680B44">
              <w:lastRenderedPageBreak/>
              <w:t>sniegt, lūdzam svītrot attiecīgās normas.</w:t>
            </w:r>
            <w:r>
              <w:t>”</w:t>
            </w:r>
          </w:p>
          <w:p w:rsidRPr="000C6214" w:rsidR="00EE640A" w:rsidP="00680B44" w:rsidRDefault="00EE640A" w14:paraId="6DED5CC8" w14:textId="61C13E2C">
            <w:pPr>
              <w:widowControl w:val="0"/>
              <w:ind w:right="12"/>
              <w:jc w:val="both"/>
            </w:pPr>
          </w:p>
        </w:tc>
        <w:tc>
          <w:tcPr>
            <w:tcW w:w="2551" w:type="dxa"/>
            <w:tcBorders>
              <w:left w:val="single" w:color="000000" w:sz="6" w:space="0"/>
              <w:bottom w:val="single" w:color="auto" w:sz="4" w:space="0"/>
              <w:right w:val="single" w:color="000000" w:sz="6" w:space="0"/>
            </w:tcBorders>
            <w:shd w:val="clear" w:color="auto" w:fill="auto"/>
          </w:tcPr>
          <w:p w:rsidRPr="00096D51" w:rsidR="0065430D" w:rsidP="00F136C3" w:rsidRDefault="0065430D" w14:paraId="05829335" w14:textId="545654BF">
            <w:pPr>
              <w:autoSpaceDE w:val="0"/>
              <w:autoSpaceDN w:val="0"/>
              <w:adjustRightInd w:val="0"/>
              <w:jc w:val="both"/>
              <w:rPr>
                <w:b/>
              </w:rPr>
            </w:pPr>
            <w:r w:rsidRPr="00096D51">
              <w:rPr>
                <w:b/>
              </w:rPr>
              <w:lastRenderedPageBreak/>
              <w:t xml:space="preserve">Iebildums ņemts vērā. </w:t>
            </w:r>
          </w:p>
          <w:p w:rsidRPr="00096D51" w:rsidR="00C258B3" w:rsidP="00F136C3" w:rsidRDefault="00C258B3" w14:paraId="73288D53" w14:textId="77777777">
            <w:pPr>
              <w:autoSpaceDE w:val="0"/>
              <w:autoSpaceDN w:val="0"/>
              <w:adjustRightInd w:val="0"/>
              <w:jc w:val="both"/>
              <w:rPr>
                <w:b/>
              </w:rPr>
            </w:pPr>
          </w:p>
          <w:p w:rsidRPr="00096D51" w:rsidR="00EE640A" w:rsidP="00F136C3" w:rsidRDefault="00EE640A" w14:paraId="460D4C6F" w14:textId="6F2B8209">
            <w:pPr>
              <w:autoSpaceDE w:val="0"/>
              <w:autoSpaceDN w:val="0"/>
              <w:adjustRightInd w:val="0"/>
              <w:jc w:val="both"/>
              <w:rPr>
                <w:b/>
              </w:rPr>
            </w:pPr>
          </w:p>
        </w:tc>
        <w:tc>
          <w:tcPr>
            <w:tcW w:w="3827" w:type="dxa"/>
            <w:tcBorders>
              <w:top w:val="single" w:color="auto" w:sz="4" w:space="0"/>
              <w:left w:val="single" w:color="auto" w:sz="4" w:space="0"/>
              <w:bottom w:val="single" w:color="auto" w:sz="4" w:space="0"/>
            </w:tcBorders>
            <w:shd w:val="clear" w:color="auto" w:fill="auto"/>
          </w:tcPr>
          <w:p w:rsidRPr="00096D51" w:rsidR="00EA2CEA" w:rsidP="00096D51" w:rsidRDefault="00FA1BFF" w14:paraId="073A07D5" w14:textId="74F77F52">
            <w:pPr>
              <w:jc w:val="both"/>
              <w:rPr>
                <w:b/>
                <w:bCs/>
              </w:rPr>
            </w:pPr>
            <w:r w:rsidRPr="00096D51">
              <w:rPr>
                <w:b/>
                <w:bCs/>
              </w:rPr>
              <w:t>Papildinātā anotācija</w:t>
            </w:r>
            <w:r w:rsidRPr="00096D51" w:rsidR="00447EFD">
              <w:rPr>
                <w:b/>
                <w:bCs/>
              </w:rPr>
              <w:t>s I sadaļas 2. aile</w:t>
            </w:r>
            <w:r w:rsidRPr="00096D51">
              <w:rPr>
                <w:b/>
                <w:bCs/>
              </w:rPr>
              <w:t xml:space="preserve"> ar izvērstu </w:t>
            </w:r>
            <w:r w:rsidRPr="00096D51" w:rsidR="00096D51">
              <w:rPr>
                <w:b/>
                <w:bCs/>
              </w:rPr>
              <w:t>pamatojumu.</w:t>
            </w:r>
          </w:p>
        </w:tc>
      </w:tr>
      <w:tr w:rsidRPr="00F435C8" w:rsidR="00644C83" w:rsidTr="00A8237E" w14:paraId="378B3009" w14:textId="77777777">
        <w:tc>
          <w:tcPr>
            <w:tcW w:w="1135" w:type="dxa"/>
            <w:tcBorders>
              <w:left w:val="single" w:color="000000" w:sz="6" w:space="0"/>
              <w:bottom w:val="single" w:color="auto" w:sz="4" w:space="0"/>
              <w:right w:val="single" w:color="000000" w:sz="6" w:space="0"/>
            </w:tcBorders>
            <w:shd w:val="clear" w:color="auto" w:fill="auto"/>
          </w:tcPr>
          <w:p w:rsidRPr="00F435C8" w:rsidR="00644C83" w:rsidP="00644C83" w:rsidRDefault="00644C83" w14:paraId="429941D6" w14:textId="77777777">
            <w:pPr>
              <w:numPr>
                <w:ilvl w:val="0"/>
                <w:numId w:val="1"/>
              </w:numPr>
              <w:jc w:val="both"/>
            </w:pPr>
          </w:p>
        </w:tc>
        <w:tc>
          <w:tcPr>
            <w:tcW w:w="2835" w:type="dxa"/>
            <w:tcBorders>
              <w:left w:val="single" w:color="000000" w:sz="6" w:space="0"/>
              <w:bottom w:val="single" w:color="auto" w:sz="4" w:space="0"/>
              <w:right w:val="single" w:color="000000" w:sz="6" w:space="0"/>
            </w:tcBorders>
            <w:shd w:val="clear" w:color="auto" w:fill="auto"/>
          </w:tcPr>
          <w:p w:rsidRPr="00716843" w:rsidR="00644C83" w:rsidP="00644C83" w:rsidRDefault="00644C83" w14:paraId="6D8C0558" w14:textId="77777777">
            <w:pPr>
              <w:ind w:left="709"/>
              <w:jc w:val="both"/>
              <w:rPr>
                <w:bCs/>
              </w:rPr>
            </w:pPr>
          </w:p>
          <w:p w:rsidRPr="00936CDC" w:rsidR="00644C83" w:rsidP="00644C83" w:rsidRDefault="00644C83" w14:paraId="2FB60059" w14:textId="77777777">
            <w:pPr>
              <w:jc w:val="both"/>
              <w:rPr>
                <w:bCs/>
              </w:rPr>
            </w:pPr>
            <w:r w:rsidRPr="00936CDC">
              <w:rPr>
                <w:bCs/>
              </w:rPr>
              <w:t>“3. Aizstāt 4. punktā vārdus “decembra otrajā svētdienā” ar vārdiem “pusnaktī no decembra otrās sestdienas uz svētdienu””.</w:t>
            </w:r>
          </w:p>
          <w:p w:rsidRPr="00FA1BFF" w:rsidR="00644C83" w:rsidP="00644C83" w:rsidRDefault="00644C83" w14:paraId="0C7F7507" w14:textId="77777777">
            <w:pPr>
              <w:keepLines/>
              <w:shd w:val="clear" w:color="auto" w:fill="FFFFFF"/>
              <w:jc w:val="both"/>
            </w:pPr>
          </w:p>
        </w:tc>
        <w:tc>
          <w:tcPr>
            <w:tcW w:w="4111" w:type="dxa"/>
            <w:tcBorders>
              <w:left w:val="single" w:color="000000" w:sz="6" w:space="0"/>
              <w:bottom w:val="single" w:color="auto" w:sz="4" w:space="0"/>
              <w:right w:val="single" w:color="000000" w:sz="6" w:space="0"/>
            </w:tcBorders>
            <w:shd w:val="clear" w:color="auto" w:fill="auto"/>
          </w:tcPr>
          <w:p w:rsidRPr="00936CDC" w:rsidR="00644C83" w:rsidP="00644C83" w:rsidRDefault="00644C83" w14:paraId="74382813" w14:textId="77777777">
            <w:pPr>
              <w:ind w:right="12"/>
              <w:jc w:val="both"/>
              <w:rPr>
                <w:i/>
              </w:rPr>
            </w:pPr>
            <w:r w:rsidRPr="00936CDC">
              <w:rPr>
                <w:i/>
              </w:rPr>
              <w:t>2.iebildums:</w:t>
            </w:r>
          </w:p>
          <w:p w:rsidRPr="00936CDC" w:rsidR="00644C83" w:rsidP="00644C83" w:rsidRDefault="00644C83" w14:paraId="296667A0" w14:textId="77777777">
            <w:pPr>
              <w:ind w:right="12"/>
              <w:jc w:val="both"/>
            </w:pPr>
            <w:r w:rsidRPr="00936CDC">
              <w:t>“Nav saprotami projekta 3. punktā izteiktie 4. punkta grozījumi. Proti, aizstājot vārdus “decembra otrajā svētdienā” ar vārdiem “pusnaktī no decembra otrās sestdienas uz svētdienu”, tiek veidots regulējums, kas pēc būtības neko nemaina, jo decembra otrā svētdiena sākās attiecīgajā pusnaktī. Ievērojot minēto, lūdzam svītrot projekta 3. punktu. Līdzīgi lūdzam svītrot projekta 15. punktu, kā arī projekta 21. punktā izteikto 41.2. apakšpunktu. Apzināmies, ka minētās normas “pārkopētas” no Komisijas 2017. gada 4. septembra Deleģētā lēmuma (ES) 2017/2075, ar kuru aizstāj VII pielikumu Eiropas Parlamenta un Padomes Direktīvai 2012/34/ES, ar ko izveido vienotu Eiropas dzelzceļa telpu, (turpmāk – Lēmums) normām, tomēr uzsveram, ka šajā gadījumā attiecīgais Lēmuma regulējums jāpārņem pēc būtības, nevis “viens pret vienu””.</w:t>
            </w:r>
          </w:p>
          <w:p w:rsidR="00644C83" w:rsidP="00644C83" w:rsidRDefault="00644C83" w14:paraId="10B94F8F" w14:textId="77777777">
            <w:pPr>
              <w:ind w:right="12"/>
              <w:jc w:val="both"/>
              <w:rPr>
                <w:i/>
              </w:rPr>
            </w:pPr>
          </w:p>
        </w:tc>
        <w:tc>
          <w:tcPr>
            <w:tcW w:w="2551" w:type="dxa"/>
            <w:tcBorders>
              <w:left w:val="single" w:color="000000" w:sz="6" w:space="0"/>
              <w:bottom w:val="single" w:color="auto" w:sz="4" w:space="0"/>
              <w:right w:val="single" w:color="000000" w:sz="6" w:space="0"/>
            </w:tcBorders>
            <w:shd w:val="clear" w:color="auto" w:fill="auto"/>
          </w:tcPr>
          <w:p w:rsidR="006C2AE4" w:rsidP="000E558F" w:rsidRDefault="00644C83" w14:paraId="724E05EC" w14:textId="77777777">
            <w:pPr>
              <w:jc w:val="both"/>
              <w:rPr>
                <w:b/>
                <w:color w:val="000000" w:themeColor="text1"/>
              </w:rPr>
            </w:pPr>
            <w:r>
              <w:rPr>
                <w:b/>
                <w:shd w:val="clear" w:color="auto" w:fill="FFFFFF"/>
              </w:rPr>
              <w:t xml:space="preserve">Iebildums nav ņemts vērā, </w:t>
            </w:r>
            <w:r w:rsidRPr="00177257" w:rsidR="006C2AE4">
              <w:rPr>
                <w:b/>
                <w:bCs/>
              </w:rPr>
              <w:t xml:space="preserve">Saskaņā ar </w:t>
            </w:r>
            <w:r w:rsidRPr="00177257" w:rsidR="006C2AE4">
              <w:rPr>
                <w:b/>
                <w:color w:val="000000" w:themeColor="text1"/>
              </w:rPr>
              <w:t>Ministru kabineta 2009. gada 7. aprīļa noteikumu Nr. 300 “Ministru kabineta kārtības rullis” 99. punktu, iebildums tiek uzskatīts par saskaņotu.</w:t>
            </w:r>
          </w:p>
          <w:p w:rsidRPr="00096D51" w:rsidR="00644C83" w:rsidP="000E558F" w:rsidRDefault="00644C83" w14:paraId="302DD566" w14:textId="52D89A9B">
            <w:pPr>
              <w:autoSpaceDE w:val="0"/>
              <w:autoSpaceDN w:val="0"/>
              <w:adjustRightInd w:val="0"/>
              <w:jc w:val="both"/>
              <w:rPr>
                <w:b/>
              </w:rPr>
            </w:pPr>
            <w:r w:rsidRPr="00936CDC">
              <w:rPr>
                <w:b/>
                <w:shd w:val="clear" w:color="auto" w:fill="FFFFFF"/>
              </w:rPr>
              <w:t>Skaidrojam:</w:t>
            </w:r>
            <w:r w:rsidRPr="00936CDC">
              <w:rPr>
                <w:shd w:val="clear" w:color="auto" w:fill="FFFFFF"/>
              </w:rPr>
              <w:t xml:space="preserve"> Grozījumi nepieciešami, lai novērstu būtisku neprecizitāti noteikumos – situācijā, kad decembra pirmais datums iekrīt svētdienā, ņemot vērā šobrīd spēkā esošo redakciju, vilcienu kustības grafiks ir jāmaina 8. datumā (otrā svētdiena), bet pārējās Eiropas valstis vilcienu kustības grafiku maina 15. decembrī, kas šajā gadījumā ir mēneša trešajā svētdienā. Tādēļ projektā tiek piedāvāts </w:t>
            </w:r>
            <w:r w:rsidRPr="00936CDC">
              <w:rPr>
                <w:shd w:val="clear" w:color="auto" w:fill="FFFFFF"/>
              </w:rPr>
              <w:lastRenderedPageBreak/>
              <w:t>par atskaites punktu ņemt decembra otro sestdienu: “pusnaktī no decembra otrās sestdienas uz svētdienu”.</w:t>
            </w:r>
          </w:p>
        </w:tc>
        <w:tc>
          <w:tcPr>
            <w:tcW w:w="3827" w:type="dxa"/>
            <w:tcBorders>
              <w:top w:val="single" w:color="auto" w:sz="4" w:space="0"/>
              <w:left w:val="single" w:color="auto" w:sz="4" w:space="0"/>
              <w:bottom w:val="single" w:color="auto" w:sz="4" w:space="0"/>
            </w:tcBorders>
            <w:shd w:val="clear" w:color="auto" w:fill="auto"/>
          </w:tcPr>
          <w:p w:rsidRPr="00936CDC" w:rsidR="006C2AE4" w:rsidP="006C2AE4" w:rsidRDefault="006C2AE4" w14:paraId="70602834" w14:textId="18AC4BFC">
            <w:pPr>
              <w:jc w:val="both"/>
              <w:rPr>
                <w:bCs/>
              </w:rPr>
            </w:pPr>
            <w:r w:rsidRPr="00936CDC">
              <w:rPr>
                <w:bCs/>
              </w:rPr>
              <w:lastRenderedPageBreak/>
              <w:t>“3. Aizstāt 4. punktā vārdus “decembra otrajā svētdienā” ar vārdiem “pusnaktī no decembra otrās sestdienas uz svētdienu””.</w:t>
            </w:r>
          </w:p>
          <w:p w:rsidRPr="00177257" w:rsidR="006C2AE4" w:rsidP="00644C83" w:rsidRDefault="006C2AE4" w14:paraId="69608996" w14:textId="6250A4F5">
            <w:pPr>
              <w:jc w:val="both"/>
              <w:rPr>
                <w:b/>
                <w:bCs/>
              </w:rPr>
            </w:pPr>
          </w:p>
        </w:tc>
      </w:tr>
      <w:tr w:rsidRPr="00F435C8" w:rsidR="00644C83" w:rsidTr="00A8237E" w14:paraId="3D10BC3E" w14:textId="77777777">
        <w:tc>
          <w:tcPr>
            <w:tcW w:w="1135" w:type="dxa"/>
            <w:tcBorders>
              <w:left w:val="single" w:color="000000" w:sz="6" w:space="0"/>
              <w:bottom w:val="single" w:color="auto" w:sz="4" w:space="0"/>
              <w:right w:val="single" w:color="000000" w:sz="6" w:space="0"/>
            </w:tcBorders>
            <w:shd w:val="clear" w:color="auto" w:fill="auto"/>
          </w:tcPr>
          <w:p w:rsidRPr="00F435C8" w:rsidR="00644C83" w:rsidP="00644C83" w:rsidRDefault="00644C83" w14:paraId="1AE022E7" w14:textId="77777777">
            <w:pPr>
              <w:numPr>
                <w:ilvl w:val="0"/>
                <w:numId w:val="1"/>
              </w:numPr>
              <w:jc w:val="both"/>
            </w:pPr>
          </w:p>
        </w:tc>
        <w:tc>
          <w:tcPr>
            <w:tcW w:w="2835" w:type="dxa"/>
            <w:tcBorders>
              <w:left w:val="single" w:color="000000" w:sz="6" w:space="0"/>
              <w:bottom w:val="single" w:color="auto" w:sz="4" w:space="0"/>
              <w:right w:val="single" w:color="000000" w:sz="6" w:space="0"/>
            </w:tcBorders>
            <w:shd w:val="clear" w:color="auto" w:fill="auto"/>
          </w:tcPr>
          <w:p w:rsidRPr="00936CDC" w:rsidR="00644C83" w:rsidP="00644C83" w:rsidRDefault="00644C83" w14:paraId="584888D4" w14:textId="77777777">
            <w:pPr>
              <w:pStyle w:val="Default"/>
              <w:jc w:val="both"/>
              <w:rPr>
                <w:color w:val="auto"/>
              </w:rPr>
            </w:pPr>
            <w:r w:rsidRPr="00936CDC">
              <w:rPr>
                <w:bCs/>
              </w:rPr>
              <w:t>“6. </w:t>
            </w:r>
            <w:r w:rsidRPr="00936CDC">
              <w:rPr>
                <w:color w:val="auto"/>
              </w:rPr>
              <w:t>Svītrot 7.2. apakšpunktā vārdu “vidēji”;</w:t>
            </w:r>
          </w:p>
          <w:p w:rsidRPr="00936CDC" w:rsidR="00644C83" w:rsidP="00644C83" w:rsidRDefault="00644C83" w14:paraId="71B60DBF" w14:textId="77777777">
            <w:pPr>
              <w:keepLines/>
              <w:shd w:val="clear" w:color="auto" w:fill="FFFFFF"/>
              <w:jc w:val="both"/>
            </w:pPr>
          </w:p>
          <w:p w:rsidRPr="00936CDC" w:rsidR="00644C83" w:rsidP="00644C83" w:rsidRDefault="00644C83" w14:paraId="703A4554" w14:textId="77777777">
            <w:pPr>
              <w:pStyle w:val="Default"/>
              <w:rPr>
                <w:color w:val="auto"/>
              </w:rPr>
            </w:pPr>
            <w:r w:rsidRPr="00936CDC">
              <w:rPr>
                <w:color w:val="auto"/>
              </w:rPr>
              <w:t>11. Svītrot 16. punktā vārdu “vidēji””.</w:t>
            </w:r>
          </w:p>
          <w:p w:rsidRPr="00716843" w:rsidR="00644C83" w:rsidP="00644C83" w:rsidRDefault="00644C83" w14:paraId="23A7CB17" w14:textId="77777777">
            <w:pPr>
              <w:ind w:left="709"/>
              <w:jc w:val="both"/>
              <w:rPr>
                <w:bCs/>
              </w:rPr>
            </w:pPr>
          </w:p>
        </w:tc>
        <w:tc>
          <w:tcPr>
            <w:tcW w:w="4111" w:type="dxa"/>
            <w:tcBorders>
              <w:left w:val="single" w:color="000000" w:sz="6" w:space="0"/>
              <w:bottom w:val="single" w:color="auto" w:sz="4" w:space="0"/>
              <w:right w:val="single" w:color="000000" w:sz="6" w:space="0"/>
            </w:tcBorders>
            <w:shd w:val="clear" w:color="auto" w:fill="auto"/>
          </w:tcPr>
          <w:p w:rsidRPr="00936CDC" w:rsidR="00644C83" w:rsidP="00644C83" w:rsidRDefault="00644C83" w14:paraId="0682ABEB" w14:textId="77777777">
            <w:pPr>
              <w:tabs>
                <w:tab w:val="left" w:pos="851"/>
              </w:tabs>
              <w:ind w:right="12"/>
              <w:jc w:val="both"/>
              <w:rPr>
                <w:i/>
              </w:rPr>
            </w:pPr>
            <w:r w:rsidRPr="00936CDC">
              <w:rPr>
                <w:i/>
              </w:rPr>
              <w:t>3.iebildums:</w:t>
            </w:r>
          </w:p>
          <w:p w:rsidRPr="00936CDC" w:rsidR="00644C83" w:rsidP="00644C83" w:rsidRDefault="00644C83" w14:paraId="5E0A0859" w14:textId="77777777">
            <w:pPr>
              <w:tabs>
                <w:tab w:val="left" w:pos="851"/>
              </w:tabs>
              <w:ind w:right="12"/>
              <w:jc w:val="both"/>
            </w:pPr>
            <w:r w:rsidRPr="00936CDC">
              <w:t>“Saistībā ar projekta 6. un 11. punkta regulējumu lūdzam papildināt projektu ar attiecīgiem grozījumiem noteikumu 29. punktā.”</w:t>
            </w:r>
          </w:p>
          <w:p w:rsidRPr="00936CDC" w:rsidR="00644C83" w:rsidP="00644C83" w:rsidRDefault="00644C83" w14:paraId="7726FCA8" w14:textId="77777777">
            <w:pPr>
              <w:ind w:right="12"/>
              <w:jc w:val="both"/>
              <w:rPr>
                <w:i/>
              </w:rPr>
            </w:pPr>
          </w:p>
        </w:tc>
        <w:tc>
          <w:tcPr>
            <w:tcW w:w="2551" w:type="dxa"/>
            <w:tcBorders>
              <w:left w:val="single" w:color="000000" w:sz="6" w:space="0"/>
              <w:bottom w:val="single" w:color="auto" w:sz="4" w:space="0"/>
              <w:right w:val="single" w:color="000000" w:sz="6" w:space="0"/>
            </w:tcBorders>
            <w:shd w:val="clear" w:color="auto" w:fill="auto"/>
          </w:tcPr>
          <w:p w:rsidR="006C2AE4" w:rsidP="000E558F" w:rsidRDefault="00644C83" w14:paraId="746DCA32" w14:textId="77777777">
            <w:pPr>
              <w:jc w:val="both"/>
              <w:rPr>
                <w:b/>
                <w:color w:val="000000" w:themeColor="text1"/>
              </w:rPr>
            </w:pPr>
            <w:r w:rsidRPr="00936CDC">
              <w:rPr>
                <w:b/>
                <w:shd w:val="clear" w:color="auto" w:fill="FFFFFF"/>
              </w:rPr>
              <w:t xml:space="preserve">Iebildums nav ņemts vērā. </w:t>
            </w:r>
            <w:r w:rsidRPr="00177257" w:rsidR="006C2AE4">
              <w:rPr>
                <w:b/>
                <w:bCs/>
              </w:rPr>
              <w:t xml:space="preserve">Saskaņā ar </w:t>
            </w:r>
            <w:r w:rsidRPr="00177257" w:rsidR="006C2AE4">
              <w:rPr>
                <w:b/>
                <w:color w:val="000000" w:themeColor="text1"/>
              </w:rPr>
              <w:t>Ministru kabineta 2009. gada 7. aprīļa noteikumu Nr. 300 “Ministru kabineta kārtības rullis” 99. punktu, iebildums tiek uzskatīts par saskaņotu.</w:t>
            </w:r>
          </w:p>
          <w:p w:rsidR="00644C83" w:rsidP="000E558F" w:rsidRDefault="00644C83" w14:paraId="2DB7A7ED" w14:textId="056A4B0C">
            <w:pPr>
              <w:autoSpaceDE w:val="0"/>
              <w:autoSpaceDN w:val="0"/>
              <w:adjustRightInd w:val="0"/>
              <w:jc w:val="both"/>
              <w:rPr>
                <w:b/>
                <w:shd w:val="clear" w:color="auto" w:fill="FFFFFF"/>
              </w:rPr>
            </w:pPr>
            <w:r w:rsidRPr="00936CDC">
              <w:rPr>
                <w:b/>
                <w:shd w:val="clear" w:color="auto" w:fill="FFFFFF"/>
              </w:rPr>
              <w:t>Skaidrojam:</w:t>
            </w:r>
            <w:r w:rsidRPr="00936CDC">
              <w:rPr>
                <w:shd w:val="clear" w:color="auto" w:fill="FFFFFF"/>
              </w:rPr>
              <w:t xml:space="preserve"> Ministru kabineta 2016. gada 15. jūlija noteikumu Nr. 472 “Publiskās lietošanas dzelzceļa infrastruktūras jaudas sadales noteikumi”(turpmāk – Noteikumi) Noteikumu 29. punktā noteiktais regulējums (</w:t>
            </w:r>
            <w:r w:rsidRPr="00936CDC">
              <w:rPr>
                <w:i/>
                <w:shd w:val="clear" w:color="auto" w:fill="FFFFFF"/>
              </w:rPr>
              <w:t>infrastruktūras pārvaldītāju iesaiste jaudas analīzē, lai mazinātu tīkla pārslogotību</w:t>
            </w:r>
            <w:r w:rsidRPr="00936CDC">
              <w:rPr>
                <w:shd w:val="clear" w:color="auto" w:fill="FFFFFF"/>
              </w:rPr>
              <w:t xml:space="preserve">) nekādā </w:t>
            </w:r>
            <w:r w:rsidRPr="00936CDC">
              <w:rPr>
                <w:shd w:val="clear" w:color="auto" w:fill="FFFFFF"/>
              </w:rPr>
              <w:lastRenderedPageBreak/>
              <w:t>veidā nav saistīts ar projekta 6. un 11. punktā noteikto regulējumu – jaudas pieprasījuma veidlapā norādāmo informāciju par konkrētu diennaktī prognozējamo vilcienu skaitu.</w:t>
            </w:r>
          </w:p>
        </w:tc>
        <w:tc>
          <w:tcPr>
            <w:tcW w:w="3827" w:type="dxa"/>
            <w:tcBorders>
              <w:top w:val="single" w:color="auto" w:sz="4" w:space="0"/>
              <w:left w:val="single" w:color="auto" w:sz="4" w:space="0"/>
              <w:bottom w:val="single" w:color="auto" w:sz="4" w:space="0"/>
            </w:tcBorders>
            <w:shd w:val="clear" w:color="auto" w:fill="auto"/>
          </w:tcPr>
          <w:p w:rsidRPr="00936CDC" w:rsidR="006C2AE4" w:rsidP="006C2AE4" w:rsidRDefault="006C2AE4" w14:paraId="0FC45AAB" w14:textId="77777777">
            <w:pPr>
              <w:pStyle w:val="Default"/>
              <w:jc w:val="both"/>
              <w:rPr>
                <w:color w:val="auto"/>
              </w:rPr>
            </w:pPr>
            <w:r w:rsidRPr="00936CDC">
              <w:rPr>
                <w:bCs/>
              </w:rPr>
              <w:lastRenderedPageBreak/>
              <w:t>“6. </w:t>
            </w:r>
            <w:r w:rsidRPr="00936CDC">
              <w:rPr>
                <w:color w:val="auto"/>
              </w:rPr>
              <w:t>Svītrot 7.2. apakšpunktā vārdu “vidēji”;</w:t>
            </w:r>
          </w:p>
          <w:p w:rsidRPr="00936CDC" w:rsidR="006C2AE4" w:rsidP="006C2AE4" w:rsidRDefault="006C2AE4" w14:paraId="7AD715A1" w14:textId="77777777">
            <w:pPr>
              <w:keepLines/>
              <w:shd w:val="clear" w:color="auto" w:fill="FFFFFF"/>
              <w:jc w:val="both"/>
            </w:pPr>
          </w:p>
          <w:p w:rsidRPr="00936CDC" w:rsidR="006C2AE4" w:rsidP="006C2AE4" w:rsidRDefault="006C2AE4" w14:paraId="2865B494" w14:textId="77777777">
            <w:pPr>
              <w:pStyle w:val="Default"/>
              <w:rPr>
                <w:color w:val="auto"/>
              </w:rPr>
            </w:pPr>
            <w:r w:rsidRPr="00936CDC">
              <w:rPr>
                <w:color w:val="auto"/>
              </w:rPr>
              <w:t>11. Svītrot 16. punktā vārdu “vidēji””.</w:t>
            </w:r>
          </w:p>
          <w:p w:rsidR="00644C83" w:rsidP="00644C83" w:rsidRDefault="00644C83" w14:paraId="79B20257" w14:textId="7F8C6296">
            <w:pPr>
              <w:jc w:val="both"/>
              <w:rPr>
                <w:b/>
                <w:bCs/>
              </w:rPr>
            </w:pPr>
          </w:p>
        </w:tc>
      </w:tr>
      <w:tr w:rsidRPr="00F435C8" w:rsidR="00CB6F70" w:rsidTr="00A8237E" w14:paraId="7E7EA4C5" w14:textId="77777777">
        <w:tc>
          <w:tcPr>
            <w:tcW w:w="1135" w:type="dxa"/>
            <w:tcBorders>
              <w:left w:val="single" w:color="000000" w:sz="6" w:space="0"/>
              <w:bottom w:val="single" w:color="auto" w:sz="4" w:space="0"/>
              <w:right w:val="single" w:color="000000" w:sz="6" w:space="0"/>
            </w:tcBorders>
            <w:shd w:val="clear" w:color="auto" w:fill="auto"/>
          </w:tcPr>
          <w:p w:rsidRPr="00A6216F" w:rsidR="00CB6F70" w:rsidP="00A6216F" w:rsidRDefault="00644C83" w14:paraId="41E59B1C" w14:textId="56A6EC5E">
            <w:pPr>
              <w:ind w:left="360"/>
              <w:jc w:val="both"/>
              <w:rPr>
                <w:b/>
              </w:rPr>
            </w:pPr>
            <w:r>
              <w:rPr>
                <w:b/>
              </w:rPr>
              <w:t>4</w:t>
            </w:r>
            <w:r w:rsidR="00A6216F">
              <w:rPr>
                <w:b/>
              </w:rPr>
              <w:t>.</w:t>
            </w:r>
          </w:p>
        </w:tc>
        <w:tc>
          <w:tcPr>
            <w:tcW w:w="2835" w:type="dxa"/>
            <w:tcBorders>
              <w:left w:val="single" w:color="000000" w:sz="6" w:space="0"/>
              <w:bottom w:val="single" w:color="auto" w:sz="4" w:space="0"/>
              <w:right w:val="single" w:color="000000" w:sz="6" w:space="0"/>
            </w:tcBorders>
            <w:shd w:val="clear" w:color="auto" w:fill="auto"/>
          </w:tcPr>
          <w:p w:rsidRPr="00F0142A" w:rsidR="00CB6F70" w:rsidP="00CB6F70" w:rsidRDefault="006C0070" w14:paraId="207C613B" w14:textId="4C32EBAB">
            <w:pPr>
              <w:keepLines/>
              <w:shd w:val="clear" w:color="auto" w:fill="FFFFFF"/>
              <w:jc w:val="both"/>
              <w:rPr>
                <w:highlight w:val="yellow"/>
              </w:rPr>
            </w:pPr>
            <w:r>
              <w:t>“</w:t>
            </w:r>
            <w:r w:rsidRPr="006C0070">
              <w:t>16. Svītrot 34. punktā vārdus un skaitli “atbilstoši infrastruktūras jaudas sadales plānam un Dzelzceļa likuma 27. panta trešaj</w:t>
            </w:r>
            <w:r>
              <w:t>ā daļā noteiktajām prioritātēm””.</w:t>
            </w:r>
          </w:p>
        </w:tc>
        <w:tc>
          <w:tcPr>
            <w:tcW w:w="4111" w:type="dxa"/>
            <w:tcBorders>
              <w:left w:val="single" w:color="000000" w:sz="6" w:space="0"/>
              <w:bottom w:val="single" w:color="auto" w:sz="4" w:space="0"/>
              <w:right w:val="single" w:color="000000" w:sz="6" w:space="0"/>
            </w:tcBorders>
            <w:shd w:val="clear" w:color="auto" w:fill="auto"/>
          </w:tcPr>
          <w:p w:rsidRPr="00DB766F" w:rsidR="009D011C" w:rsidP="00CB6F70" w:rsidRDefault="009D011C" w14:paraId="5AD7BB02" w14:textId="013D3EFF">
            <w:pPr>
              <w:tabs>
                <w:tab w:val="left" w:pos="851"/>
              </w:tabs>
              <w:ind w:right="12"/>
              <w:jc w:val="both"/>
              <w:rPr>
                <w:i/>
              </w:rPr>
            </w:pPr>
            <w:r w:rsidRPr="00DB766F">
              <w:rPr>
                <w:i/>
              </w:rPr>
              <w:t>4.iebildums:</w:t>
            </w:r>
          </w:p>
          <w:p w:rsidRPr="00DB766F" w:rsidR="00CB6F70" w:rsidP="00CB6F70" w:rsidRDefault="009D011C" w14:paraId="7633A86E" w14:textId="4A10F7D6">
            <w:pPr>
              <w:tabs>
                <w:tab w:val="left" w:pos="851"/>
              </w:tabs>
              <w:ind w:right="12"/>
              <w:jc w:val="both"/>
            </w:pPr>
            <w:r w:rsidRPr="00DB766F">
              <w:t>“</w:t>
            </w:r>
            <w:r w:rsidRPr="00DB766F" w:rsidR="00CB6F70">
              <w:t>Vēršam uzmanību, ka projekta 16. punktā ietvertie grozījumi attiecīgo normu padara grūti uztveramu, jo pēc grozījumiem nav skaidrs ne vilciena kustības gada grafika izstrādātājs, ne kritēriji, kā jāizstrādā attiecīgais grafiks. Attiecīgi, lai praksē nerastos problēmas ar minētās normas piemērošanu, lūdzam papildināt projekta 16. punktu.</w:t>
            </w:r>
            <w:r w:rsidRPr="00DB766F">
              <w:t>”</w:t>
            </w:r>
          </w:p>
          <w:p w:rsidRPr="00DB766F" w:rsidR="00CB6F70" w:rsidP="00CB6F70" w:rsidRDefault="00CB6F70" w14:paraId="5EAAE907" w14:textId="77777777">
            <w:pPr>
              <w:tabs>
                <w:tab w:val="left" w:pos="851"/>
              </w:tabs>
              <w:ind w:right="12" w:firstLine="567"/>
              <w:jc w:val="both"/>
              <w:rPr>
                <w:sz w:val="28"/>
                <w:szCs w:val="28"/>
              </w:rPr>
            </w:pPr>
          </w:p>
        </w:tc>
        <w:tc>
          <w:tcPr>
            <w:tcW w:w="2551" w:type="dxa"/>
            <w:tcBorders>
              <w:left w:val="single" w:color="000000" w:sz="6" w:space="0"/>
              <w:bottom w:val="single" w:color="auto" w:sz="4" w:space="0"/>
              <w:right w:val="single" w:color="000000" w:sz="6" w:space="0"/>
            </w:tcBorders>
            <w:shd w:val="clear" w:color="auto" w:fill="auto"/>
          </w:tcPr>
          <w:p w:rsidRPr="00DB766F" w:rsidR="006C0070" w:rsidP="000E558F" w:rsidRDefault="003255A7" w14:paraId="0ED8F5EF" w14:textId="6FB80001">
            <w:pPr>
              <w:autoSpaceDE w:val="0"/>
              <w:autoSpaceDN w:val="0"/>
              <w:adjustRightInd w:val="0"/>
              <w:jc w:val="both"/>
              <w:rPr>
                <w:shd w:val="clear" w:color="auto" w:fill="FFFFFF"/>
              </w:rPr>
            </w:pPr>
            <w:r w:rsidRPr="00DB766F">
              <w:rPr>
                <w:b/>
                <w:shd w:val="clear" w:color="auto" w:fill="FFFFFF"/>
              </w:rPr>
              <w:t xml:space="preserve">Iebildums ņemts vērā. </w:t>
            </w:r>
            <w:r w:rsidRPr="00DB766F" w:rsidR="006C0070">
              <w:rPr>
                <w:b/>
                <w:shd w:val="clear" w:color="auto" w:fill="FFFFFF"/>
              </w:rPr>
              <w:t>Skaidrojam:</w:t>
            </w:r>
          </w:p>
          <w:p w:rsidRPr="00DB766F" w:rsidR="00CB6F70" w:rsidP="000E558F" w:rsidRDefault="006C0070" w14:paraId="5DBA8E27" w14:textId="7CA7B4F6">
            <w:pPr>
              <w:autoSpaceDE w:val="0"/>
              <w:autoSpaceDN w:val="0"/>
              <w:adjustRightInd w:val="0"/>
              <w:jc w:val="both"/>
              <w:rPr>
                <w:shd w:val="clear" w:color="auto" w:fill="FFFFFF"/>
              </w:rPr>
            </w:pPr>
            <w:r w:rsidRPr="00DB766F">
              <w:rPr>
                <w:shd w:val="clear" w:color="auto" w:fill="FFFFFF"/>
              </w:rPr>
              <w:t>P</w:t>
            </w:r>
            <w:r w:rsidRPr="00DB766F" w:rsidR="00D36ECE">
              <w:rPr>
                <w:shd w:val="clear" w:color="auto" w:fill="FFFFFF"/>
              </w:rPr>
              <w:t xml:space="preserve">rojekta 16. punktā ir veikti grozījumi, lai panāktu atbilstību Eiropas Savienības tiesību normām un </w:t>
            </w:r>
            <w:r w:rsidRPr="00DB766F">
              <w:rPr>
                <w:shd w:val="clear" w:color="auto" w:fill="FFFFFF"/>
              </w:rPr>
              <w:t xml:space="preserve">tām atbilstošajam </w:t>
            </w:r>
            <w:r w:rsidRPr="00DB766F" w:rsidR="00D36ECE">
              <w:rPr>
                <w:shd w:val="clear" w:color="auto" w:fill="FFFFFF"/>
              </w:rPr>
              <w:t>jaudas sadales procesam, tas ir, no sākuma tiek izstrādāts vilcienu kustības gada grafiks, bet pēc tam jaudas sadales plāns (nevis otrādi, kā tas Noteikumos ir aprakstīts šobrīd).</w:t>
            </w:r>
          </w:p>
        </w:tc>
        <w:tc>
          <w:tcPr>
            <w:tcW w:w="3827" w:type="dxa"/>
            <w:tcBorders>
              <w:top w:val="single" w:color="auto" w:sz="4" w:space="0"/>
              <w:left w:val="single" w:color="auto" w:sz="4" w:space="0"/>
              <w:bottom w:val="single" w:color="auto" w:sz="4" w:space="0"/>
            </w:tcBorders>
            <w:shd w:val="clear" w:color="auto" w:fill="auto"/>
          </w:tcPr>
          <w:p w:rsidR="00CB6F70" w:rsidP="00CB6F70" w:rsidRDefault="003255A7" w14:paraId="4D42F4A9" w14:textId="77777777">
            <w:pPr>
              <w:jc w:val="both"/>
              <w:rPr>
                <w:b/>
                <w:bCs/>
              </w:rPr>
            </w:pPr>
            <w:r w:rsidRPr="00DB766F">
              <w:rPr>
                <w:b/>
                <w:bCs/>
              </w:rPr>
              <w:t>Precizēts projekts.</w:t>
            </w:r>
          </w:p>
          <w:p w:rsidR="00DB766F" w:rsidP="00CB6F70" w:rsidRDefault="00DB766F" w14:paraId="1CB0E83D" w14:textId="77777777">
            <w:pPr>
              <w:jc w:val="both"/>
              <w:rPr>
                <w:b/>
                <w:bCs/>
              </w:rPr>
            </w:pPr>
          </w:p>
          <w:p w:rsidRPr="00555214" w:rsidR="00DB766F" w:rsidP="00DB766F" w:rsidRDefault="00DB766F" w14:paraId="49CA34C4" w14:textId="77777777">
            <w:pPr>
              <w:pStyle w:val="Default"/>
              <w:jc w:val="both"/>
              <w:rPr>
                <w:color w:val="auto"/>
              </w:rPr>
            </w:pPr>
            <w:r w:rsidRPr="00555214">
              <w:rPr>
                <w:color w:val="auto"/>
              </w:rPr>
              <w:t>16. </w:t>
            </w:r>
            <w:r w:rsidRPr="00555214">
              <w:rPr>
                <w:color w:val="212121"/>
                <w:shd w:val="clear" w:color="auto" w:fill="FFFFFF"/>
              </w:rPr>
              <w:t>“Svītrot 34. punktā vārdus “infrastruktūras jaudas sadales plānam un”.</w:t>
            </w:r>
          </w:p>
          <w:p w:rsidRPr="000C6ADE" w:rsidR="00DB766F" w:rsidP="00CB6F70" w:rsidRDefault="00DB766F" w14:paraId="58EC5B7D" w14:textId="214721BD">
            <w:pPr>
              <w:jc w:val="both"/>
              <w:rPr>
                <w:b/>
                <w:bCs/>
              </w:rPr>
            </w:pPr>
          </w:p>
        </w:tc>
      </w:tr>
      <w:tr w:rsidRPr="00F435C8" w:rsidR="00CB6F70" w:rsidTr="00A8237E" w14:paraId="158BFAE6" w14:textId="77777777">
        <w:tc>
          <w:tcPr>
            <w:tcW w:w="1135" w:type="dxa"/>
            <w:tcBorders>
              <w:left w:val="single" w:color="000000" w:sz="6" w:space="0"/>
              <w:bottom w:val="single" w:color="auto" w:sz="4" w:space="0"/>
              <w:right w:val="single" w:color="000000" w:sz="6" w:space="0"/>
            </w:tcBorders>
            <w:shd w:val="clear" w:color="auto" w:fill="auto"/>
          </w:tcPr>
          <w:p w:rsidRPr="00644C83" w:rsidR="00CB6F70" w:rsidP="00644C83" w:rsidRDefault="00644C83" w14:paraId="5625196A" w14:textId="2E3D1C42">
            <w:pPr>
              <w:ind w:left="426"/>
              <w:jc w:val="both"/>
              <w:rPr>
                <w:b/>
              </w:rPr>
            </w:pPr>
            <w:r w:rsidRPr="00644C83">
              <w:rPr>
                <w:b/>
              </w:rPr>
              <w:t xml:space="preserve">5. </w:t>
            </w:r>
          </w:p>
        </w:tc>
        <w:tc>
          <w:tcPr>
            <w:tcW w:w="2835" w:type="dxa"/>
            <w:tcBorders>
              <w:left w:val="single" w:color="000000" w:sz="6" w:space="0"/>
              <w:bottom w:val="single" w:color="auto" w:sz="4" w:space="0"/>
              <w:right w:val="single" w:color="000000" w:sz="6" w:space="0"/>
            </w:tcBorders>
            <w:shd w:val="clear" w:color="auto" w:fill="auto"/>
          </w:tcPr>
          <w:p w:rsidRPr="004B0E12" w:rsidR="004B0E12" w:rsidP="004B0E12" w:rsidRDefault="004B0E12" w14:paraId="5FFC9973" w14:textId="199A66D9">
            <w:pPr>
              <w:shd w:val="clear" w:color="auto" w:fill="FFFFFF"/>
              <w:jc w:val="both"/>
            </w:pPr>
            <w:r w:rsidRPr="004B0E12">
              <w:t xml:space="preserve">“26. Papildināt 57. punktu ar otro teikumu šādā redakcijā: </w:t>
            </w:r>
          </w:p>
          <w:p w:rsidRPr="004B0E12" w:rsidR="004B0E12" w:rsidP="004B0E12" w:rsidRDefault="004B0E12" w14:paraId="7897ACDC" w14:textId="0E4EE29A">
            <w:pPr>
              <w:pStyle w:val="ListParagraph"/>
              <w:shd w:val="clear" w:color="auto" w:fill="FFFFFF"/>
              <w:ind w:left="0"/>
              <w:jc w:val="both"/>
              <w:rPr>
                <w:rFonts w:ascii="Times New Roman" w:hAnsi="Times New Roman"/>
                <w:sz w:val="24"/>
                <w:szCs w:val="24"/>
                <w:lang w:eastAsia="lv-LV"/>
              </w:rPr>
            </w:pPr>
            <w:r w:rsidRPr="004B0E12">
              <w:rPr>
                <w:rFonts w:ascii="Times New Roman" w:hAnsi="Times New Roman"/>
                <w:sz w:val="24"/>
                <w:szCs w:val="24"/>
                <w:lang w:eastAsia="lv-LV"/>
              </w:rPr>
              <w:t xml:space="preserve">“Ja  Valsts dzelzceļa administrācija to uzskata par nepieciešamu, tā var </w:t>
            </w:r>
            <w:r w:rsidRPr="004B0E12">
              <w:rPr>
                <w:rFonts w:ascii="Times New Roman" w:hAnsi="Times New Roman"/>
                <w:sz w:val="24"/>
                <w:szCs w:val="24"/>
                <w:lang w:eastAsia="lv-LV"/>
              </w:rPr>
              <w:lastRenderedPageBreak/>
              <w:t>prasīt infrastruktūras pārvaldītājam nodrošināt tai šīs informācijas pieejamību””.</w:t>
            </w:r>
          </w:p>
          <w:p w:rsidRPr="004B0E12" w:rsidR="004B0E12" w:rsidP="004B0E12" w:rsidRDefault="004B0E12" w14:paraId="07D88F67" w14:textId="05BDDE0F">
            <w:pPr>
              <w:pStyle w:val="ListParagraph"/>
              <w:shd w:val="clear" w:color="auto" w:fill="FFFFFF"/>
              <w:ind w:left="0"/>
              <w:jc w:val="both"/>
              <w:rPr>
                <w:rFonts w:ascii="Times New Roman" w:hAnsi="Times New Roman"/>
                <w:sz w:val="24"/>
                <w:szCs w:val="24"/>
                <w:lang w:eastAsia="lv-LV"/>
              </w:rPr>
            </w:pPr>
          </w:p>
          <w:p w:rsidRPr="00F0142A" w:rsidR="00CB6F70" w:rsidP="00CB6F70" w:rsidRDefault="00CB6F70" w14:paraId="684CCC2D" w14:textId="77777777">
            <w:pPr>
              <w:keepLines/>
              <w:shd w:val="clear" w:color="auto" w:fill="FFFFFF"/>
              <w:jc w:val="both"/>
              <w:rPr>
                <w:highlight w:val="yellow"/>
              </w:rPr>
            </w:pPr>
          </w:p>
        </w:tc>
        <w:tc>
          <w:tcPr>
            <w:tcW w:w="4111" w:type="dxa"/>
            <w:tcBorders>
              <w:left w:val="single" w:color="000000" w:sz="6" w:space="0"/>
              <w:bottom w:val="single" w:color="auto" w:sz="4" w:space="0"/>
              <w:right w:val="single" w:color="000000" w:sz="6" w:space="0"/>
            </w:tcBorders>
            <w:shd w:val="clear" w:color="auto" w:fill="auto"/>
          </w:tcPr>
          <w:p w:rsidRPr="009D011C" w:rsidR="009D011C" w:rsidP="00CB6F70" w:rsidRDefault="009D011C" w14:paraId="1C82B728" w14:textId="77777777">
            <w:pPr>
              <w:ind w:right="12"/>
              <w:jc w:val="both"/>
              <w:rPr>
                <w:i/>
              </w:rPr>
            </w:pPr>
            <w:r w:rsidRPr="009D011C">
              <w:rPr>
                <w:i/>
              </w:rPr>
              <w:lastRenderedPageBreak/>
              <w:t>5.iebildums:</w:t>
            </w:r>
          </w:p>
          <w:p w:rsidRPr="006C0070" w:rsidR="00CB6F70" w:rsidP="00CB6F70" w:rsidRDefault="009D011C" w14:paraId="4810FF47" w14:textId="2B34256B">
            <w:pPr>
              <w:ind w:right="12"/>
              <w:jc w:val="both"/>
            </w:pPr>
            <w:r>
              <w:t>“</w:t>
            </w:r>
            <w:r w:rsidR="004B0E12">
              <w:t>Lūdzam projekta 27</w:t>
            </w:r>
            <w:r w:rsidRPr="006C0070" w:rsidR="00CB6F70">
              <w:t xml:space="preserve">. punktā norādīt, kādi kritēriji ietverami vārdu savienojuma “ja Valsts dzelzceļa administrācija to </w:t>
            </w:r>
            <w:r w:rsidRPr="006C0070" w:rsidR="00CB6F70">
              <w:rPr>
                <w:u w:val="single"/>
              </w:rPr>
              <w:t>uzskata par nepieciešamu</w:t>
            </w:r>
            <w:r w:rsidRPr="006C0070" w:rsidR="00CB6F70">
              <w:t xml:space="preserve">” ietvarā, proti, kas </w:t>
            </w:r>
            <w:r w:rsidRPr="006C0070" w:rsidR="00CB6F70">
              <w:lastRenderedPageBreak/>
              <w:t>raksturo nepieciešamību. Uzsveram, ka pretējā gadījumā var tikt pārkāpts vienlīdzības princips, jo Valsts dzelzceļa administrācija vienādos gadījumos var pieņemt atšķirīgus lēmumus. Papildus norādām, ka šāda izvēles brīvība (nejaukt ar dalībvalsts rīcības brīvību, kas izvērtēta šī atzinuma 9. iebildumā) no valsts iestādes puses, ko raksturo vārds “var”, ietverta daudzviet projektā. Attiecīgi lūdzam precizēt visu projektu, ja lietots vārds “var”, izsakot šīs normas skaidri un nepārprotami, tādējādi novēršot jebkādas šaubas par personas pa</w:t>
            </w:r>
            <w:r>
              <w:t>mattiesību iespējamu aizskārumu.”</w:t>
            </w:r>
          </w:p>
          <w:p w:rsidRPr="0076647C" w:rsidR="00CB6F70" w:rsidP="00CB6F70" w:rsidRDefault="00CB6F70" w14:paraId="6541BDED" w14:textId="77777777">
            <w:pPr>
              <w:tabs>
                <w:tab w:val="left" w:pos="851"/>
              </w:tabs>
              <w:ind w:right="12" w:firstLine="567"/>
              <w:rPr>
                <w:sz w:val="28"/>
                <w:szCs w:val="28"/>
              </w:rPr>
            </w:pPr>
          </w:p>
        </w:tc>
        <w:tc>
          <w:tcPr>
            <w:tcW w:w="2551" w:type="dxa"/>
            <w:tcBorders>
              <w:left w:val="single" w:color="000000" w:sz="6" w:space="0"/>
              <w:bottom w:val="single" w:color="auto" w:sz="4" w:space="0"/>
              <w:right w:val="single" w:color="000000" w:sz="6" w:space="0"/>
            </w:tcBorders>
            <w:shd w:val="clear" w:color="auto" w:fill="auto"/>
          </w:tcPr>
          <w:p w:rsidRPr="006D05CD" w:rsidR="004B0E12" w:rsidP="005B157A" w:rsidRDefault="004B0E12" w14:paraId="206DC382" w14:textId="76D06C0D">
            <w:pPr>
              <w:shd w:val="clear" w:color="auto" w:fill="FFFFFF"/>
              <w:jc w:val="both"/>
              <w:rPr>
                <w:b/>
                <w:iCs/>
              </w:rPr>
            </w:pPr>
            <w:r w:rsidRPr="006D05CD">
              <w:rPr>
                <w:b/>
                <w:iCs/>
              </w:rPr>
              <w:lastRenderedPageBreak/>
              <w:t xml:space="preserve">Iebildums </w:t>
            </w:r>
            <w:r w:rsidRPr="006D05CD" w:rsidR="003255A7">
              <w:rPr>
                <w:b/>
                <w:iCs/>
              </w:rPr>
              <w:t xml:space="preserve">daļēji </w:t>
            </w:r>
            <w:r w:rsidRPr="006D05CD">
              <w:rPr>
                <w:b/>
                <w:iCs/>
              </w:rPr>
              <w:t>ņemts vērā</w:t>
            </w:r>
            <w:r w:rsidR="008B497B">
              <w:rPr>
                <w:b/>
                <w:iCs/>
              </w:rPr>
              <w:t>, panākta vienošanās</w:t>
            </w:r>
            <w:r w:rsidRPr="006D05CD">
              <w:rPr>
                <w:b/>
                <w:iCs/>
              </w:rPr>
              <w:t>.</w:t>
            </w:r>
          </w:p>
          <w:p w:rsidRPr="006D05CD" w:rsidR="006D05CD" w:rsidP="000E558F" w:rsidRDefault="004B0E12" w14:paraId="15532643" w14:textId="65BD22D9">
            <w:pPr>
              <w:shd w:val="clear" w:color="auto" w:fill="FFFFFF"/>
              <w:ind w:left="57"/>
              <w:jc w:val="both"/>
              <w:rPr>
                <w:rFonts w:ascii="Calibri" w:hAnsi="Calibri" w:cs="Calibri"/>
                <w:color w:val="000000"/>
                <w:sz w:val="22"/>
                <w:szCs w:val="22"/>
              </w:rPr>
            </w:pPr>
            <w:r w:rsidRPr="006D05CD">
              <w:t>(</w:t>
            </w:r>
            <w:r w:rsidRPr="006D05CD">
              <w:rPr>
                <w:i/>
              </w:rPr>
              <w:t>Iebildums attiecas uz projekta 26. punktu</w:t>
            </w:r>
            <w:r w:rsidRPr="006D05CD">
              <w:t>)</w:t>
            </w:r>
            <w:r w:rsidRPr="006D05CD" w:rsidR="00581DB7">
              <w:t xml:space="preserve">, </w:t>
            </w:r>
            <w:r w:rsidRPr="006D05CD" w:rsidR="00B83474">
              <w:t>Pr</w:t>
            </w:r>
            <w:r w:rsidRPr="006D05CD" w:rsidR="002A5DD7">
              <w:t>o</w:t>
            </w:r>
            <w:r w:rsidRPr="006D05CD" w:rsidR="00B83474">
              <w:t xml:space="preserve">jekta 26. punktā </w:t>
            </w:r>
            <w:r w:rsidRPr="006D05CD" w:rsidR="00B83474">
              <w:lastRenderedPageBreak/>
              <w:t>izteiktais noteikumu 57. punkts p</w:t>
            </w:r>
            <w:r w:rsidRPr="006D05CD">
              <w:t>ār</w:t>
            </w:r>
            <w:r w:rsidRPr="006D05CD" w:rsidR="00581DB7">
              <w:t>ņemts</w:t>
            </w:r>
            <w:r w:rsidRPr="006D05CD" w:rsidR="006D05CD">
              <w:t xml:space="preserve"> Dzelzceļa likumā</w:t>
            </w:r>
            <w:r w:rsidRPr="006D05CD" w:rsidR="00581DB7">
              <w:t xml:space="preserve"> </w:t>
            </w:r>
            <w:r w:rsidRPr="006D05CD" w:rsidR="006D05CD">
              <w:t xml:space="preserve">no </w:t>
            </w:r>
            <w:r w:rsidRPr="006D05CD" w:rsidR="006D05CD">
              <w:rPr>
                <w:color w:val="000000"/>
              </w:rPr>
              <w:t>Direktīvas 2012/34/ES</w:t>
            </w:r>
          </w:p>
          <w:p w:rsidRPr="006D05CD" w:rsidR="006D05CD" w:rsidP="000E558F" w:rsidRDefault="006D05CD" w14:paraId="31EFA12C" w14:textId="5AB27C36">
            <w:pPr>
              <w:shd w:val="clear" w:color="auto" w:fill="FFFFFF"/>
              <w:ind w:left="57"/>
              <w:jc w:val="both"/>
              <w:rPr>
                <w:rFonts w:ascii="Calibri" w:hAnsi="Calibri" w:cs="Calibri"/>
                <w:color w:val="000000"/>
                <w:sz w:val="22"/>
                <w:szCs w:val="22"/>
              </w:rPr>
            </w:pPr>
            <w:r w:rsidRPr="006D05CD">
              <w:rPr>
                <w:color w:val="000000"/>
              </w:rPr>
              <w:t>56. panta 1. punkta.</w:t>
            </w:r>
          </w:p>
          <w:p w:rsidRPr="004B0E12" w:rsidR="00581DB7" w:rsidP="005B157A" w:rsidRDefault="00C16375" w14:paraId="0A8C6E08" w14:textId="457D134C">
            <w:pPr>
              <w:shd w:val="clear" w:color="auto" w:fill="FFFFFF"/>
              <w:jc w:val="both"/>
            </w:pPr>
            <w:r w:rsidRPr="006D05CD">
              <w:t>K</w:t>
            </w:r>
            <w:r w:rsidRPr="006D05CD" w:rsidR="00992A2B">
              <w:t>ritēriji</w:t>
            </w:r>
            <w:r w:rsidRPr="006D05CD">
              <w:t xml:space="preserve">, kas raksturo nepieciešamību Valsts dzelzceļa administrācijai </w:t>
            </w:r>
            <w:r w:rsidR="00FB3B11">
              <w:t xml:space="preserve">kā regulatīvajai iestādei </w:t>
            </w:r>
            <w:r w:rsidRPr="006D05CD">
              <w:t>iesaistīties,</w:t>
            </w:r>
            <w:r w:rsidRPr="006D05CD" w:rsidR="00992A2B">
              <w:t xml:space="preserve"> noteikti Dzelz</w:t>
            </w:r>
            <w:r w:rsidR="00FB3B11">
              <w:t>ceļa likuma 31. panta 8. punkta apakšpunktos. Tiesībās nepieciešamības gadījumā pieprasīt informāciju, Valsts dzelzceļa administrācijai noteiktas arī Dzelzceļa likuma 32. panta pirmajā daļā.</w:t>
            </w:r>
          </w:p>
          <w:p w:rsidRPr="00D36ECE" w:rsidR="00CB6F70" w:rsidP="005B157A" w:rsidRDefault="00CB6F70" w14:paraId="2620164D" w14:textId="77777777">
            <w:pPr>
              <w:shd w:val="clear" w:color="auto" w:fill="FFFFFF"/>
              <w:ind w:firstLine="567"/>
              <w:jc w:val="both"/>
              <w:rPr>
                <w:b/>
              </w:rPr>
            </w:pPr>
          </w:p>
        </w:tc>
        <w:tc>
          <w:tcPr>
            <w:tcW w:w="3827" w:type="dxa"/>
            <w:tcBorders>
              <w:top w:val="single" w:color="auto" w:sz="4" w:space="0"/>
              <w:left w:val="single" w:color="auto" w:sz="4" w:space="0"/>
              <w:bottom w:val="single" w:color="auto" w:sz="4" w:space="0"/>
            </w:tcBorders>
            <w:shd w:val="clear" w:color="auto" w:fill="auto"/>
          </w:tcPr>
          <w:p w:rsidR="00B83474" w:rsidP="00CB6F70" w:rsidRDefault="00B83474" w14:paraId="62624A4D" w14:textId="145F5576">
            <w:pPr>
              <w:jc w:val="both"/>
              <w:rPr>
                <w:b/>
                <w:bCs/>
              </w:rPr>
            </w:pPr>
            <w:r>
              <w:rPr>
                <w:b/>
                <w:bCs/>
              </w:rPr>
              <w:lastRenderedPageBreak/>
              <w:t>Precizēts projekts</w:t>
            </w:r>
            <w:r w:rsidR="00C16375">
              <w:rPr>
                <w:b/>
                <w:bCs/>
              </w:rPr>
              <w:t xml:space="preserve"> un anotācija</w:t>
            </w:r>
            <w:r>
              <w:rPr>
                <w:b/>
                <w:bCs/>
              </w:rPr>
              <w:t xml:space="preserve">. </w:t>
            </w:r>
          </w:p>
          <w:p w:rsidR="00CB6F70" w:rsidP="00DB766F" w:rsidRDefault="00B83474" w14:paraId="285E58ED" w14:textId="77777777">
            <w:pPr>
              <w:jc w:val="both"/>
              <w:rPr>
                <w:bCs/>
              </w:rPr>
            </w:pPr>
            <w:r>
              <w:rPr>
                <w:bCs/>
              </w:rPr>
              <w:t>V</w:t>
            </w:r>
            <w:r w:rsidRPr="004B0E12" w:rsidR="004B0E12">
              <w:rPr>
                <w:bCs/>
              </w:rPr>
              <w:t>eikti precizējumi visā projektā</w:t>
            </w:r>
            <w:r w:rsidR="00DB766F">
              <w:rPr>
                <w:bCs/>
              </w:rPr>
              <w:t xml:space="preserve">, </w:t>
            </w:r>
            <w:r w:rsidRPr="00FB3B11" w:rsidR="00DB766F">
              <w:rPr>
                <w:bCs/>
                <w:u w:val="single"/>
              </w:rPr>
              <w:t>iespējamos gadījumos</w:t>
            </w:r>
            <w:r w:rsidRPr="004B0E12" w:rsidR="004B0E12">
              <w:rPr>
                <w:bCs/>
              </w:rPr>
              <w:t xml:space="preserve"> svītrojot vārdu “var”. </w:t>
            </w:r>
          </w:p>
          <w:p w:rsidRPr="00B83474" w:rsidR="00C16375" w:rsidP="00C16375" w:rsidRDefault="00C16375" w14:paraId="38043C59" w14:textId="72208144">
            <w:pPr>
              <w:jc w:val="both"/>
              <w:rPr>
                <w:b/>
                <w:bCs/>
              </w:rPr>
            </w:pPr>
            <w:r w:rsidRPr="00FB3B11">
              <w:rPr>
                <w:bCs/>
              </w:rPr>
              <w:lastRenderedPageBreak/>
              <w:t>Precizēta anotācijas I sadaļas 2. aile ar skaidrojumu par minētajiem kritērijiem.</w:t>
            </w:r>
          </w:p>
        </w:tc>
      </w:tr>
      <w:tr w:rsidRPr="00F435C8" w:rsidR="00644C83" w:rsidTr="006A1C8A" w14:paraId="67B4D8A9" w14:textId="77777777">
        <w:tc>
          <w:tcPr>
            <w:tcW w:w="1135" w:type="dxa"/>
            <w:tcBorders>
              <w:left w:val="single" w:color="000000" w:sz="6" w:space="0"/>
              <w:bottom w:val="single" w:color="auto" w:sz="4" w:space="0"/>
              <w:right w:val="single" w:color="000000" w:sz="6" w:space="0"/>
            </w:tcBorders>
            <w:shd w:val="clear" w:color="auto" w:fill="auto"/>
          </w:tcPr>
          <w:p w:rsidRPr="00F71B16" w:rsidR="00644C83" w:rsidP="00F71B16" w:rsidRDefault="00644C83" w14:paraId="4C847BC5" w14:textId="7F4CA344">
            <w:pPr>
              <w:pStyle w:val="ListParagraph"/>
              <w:numPr>
                <w:ilvl w:val="0"/>
                <w:numId w:val="9"/>
              </w:numPr>
              <w:jc w:val="both"/>
              <w:rPr>
                <w:b/>
              </w:rPr>
            </w:pPr>
          </w:p>
        </w:tc>
        <w:tc>
          <w:tcPr>
            <w:tcW w:w="2835" w:type="dxa"/>
            <w:tcBorders>
              <w:top w:val="single" w:color="auto" w:sz="4" w:space="0"/>
              <w:left w:val="single" w:color="auto" w:sz="4" w:space="0"/>
              <w:bottom w:val="single" w:color="auto" w:sz="4" w:space="0"/>
              <w:right w:val="single" w:color="auto" w:sz="4" w:space="0"/>
            </w:tcBorders>
            <w:shd w:val="clear" w:color="auto" w:fill="auto"/>
          </w:tcPr>
          <w:p w:rsidRPr="00936CDC" w:rsidR="00644C83" w:rsidP="00644C83" w:rsidRDefault="00644C83" w14:paraId="0D9996B9" w14:textId="77777777">
            <w:pPr>
              <w:jc w:val="both"/>
              <w:rPr>
                <w:bCs/>
              </w:rPr>
            </w:pPr>
            <w:r w:rsidRPr="00936CDC">
              <w:rPr>
                <w:bCs/>
              </w:rPr>
              <w:t>“1. Izteikt 2.1.apakšpunktu šādā redakcijā:</w:t>
            </w:r>
          </w:p>
          <w:p w:rsidR="00644C83" w:rsidP="00644C83" w:rsidRDefault="00644C83" w14:paraId="58380043" w14:textId="77777777">
            <w:pPr>
              <w:jc w:val="both"/>
              <w:rPr>
                <w:bCs/>
              </w:rPr>
            </w:pPr>
            <w:r w:rsidRPr="00936CDC">
              <w:rPr>
                <w:bCs/>
              </w:rPr>
              <w:t xml:space="preserve">“2.1. ārpusplāna vilciens (ad hoc) – vilciens, kas izmanto infrastruktūras jaudu, par kuru pieteikums iesniegts pēc datuma, kas tīkla pārskatā noteikts kā </w:t>
            </w:r>
            <w:r w:rsidRPr="00936CDC">
              <w:rPr>
                <w:bCs/>
              </w:rPr>
              <w:lastRenderedPageBreak/>
              <w:t>pieteikumu novēlotais iesniegšan</w:t>
            </w:r>
            <w:r>
              <w:rPr>
                <w:bCs/>
              </w:rPr>
              <w:t>as termiņš.;</w:t>
            </w:r>
          </w:p>
          <w:p w:rsidRPr="00936CDC" w:rsidR="00644C83" w:rsidP="00644C83" w:rsidRDefault="00644C83" w14:paraId="776EE7FF" w14:textId="77777777">
            <w:pPr>
              <w:jc w:val="both"/>
              <w:rPr>
                <w:bCs/>
              </w:rPr>
            </w:pPr>
          </w:p>
          <w:p w:rsidRPr="00936CDC" w:rsidR="00644C83" w:rsidP="00644C83" w:rsidRDefault="00644C83" w14:paraId="74C723C9" w14:textId="77777777">
            <w:pPr>
              <w:shd w:val="clear" w:color="auto" w:fill="FFFFFF"/>
              <w:jc w:val="both"/>
            </w:pPr>
            <w:r w:rsidRPr="00936CDC">
              <w:t>27. Papildināt noteikumus ar 57.</w:t>
            </w:r>
            <w:r w:rsidRPr="00936CDC">
              <w:rPr>
                <w:vertAlign w:val="superscript"/>
              </w:rPr>
              <w:t>1</w:t>
            </w:r>
            <w:r w:rsidRPr="00936CDC">
              <w:t xml:space="preserve"> punktu šādā redakcijā: </w:t>
            </w:r>
          </w:p>
          <w:p w:rsidRPr="00936CDC" w:rsidR="00644C83" w:rsidP="00644C83" w:rsidRDefault="00644C83" w14:paraId="16B4C37E" w14:textId="77777777">
            <w:pPr>
              <w:pStyle w:val="ListParagraph"/>
              <w:shd w:val="clear" w:color="auto" w:fill="FFFFFF"/>
              <w:ind w:left="0"/>
              <w:jc w:val="both"/>
              <w:rPr>
                <w:rFonts w:ascii="Times New Roman" w:hAnsi="Times New Roman"/>
                <w:sz w:val="24"/>
                <w:szCs w:val="24"/>
                <w:lang w:eastAsia="lv-LV"/>
              </w:rPr>
            </w:pPr>
            <w:r w:rsidRPr="00936CDC">
              <w:rPr>
                <w:rFonts w:ascii="Times New Roman" w:hAnsi="Times New Roman"/>
                <w:sz w:val="24"/>
                <w:szCs w:val="24"/>
                <w:lang w:eastAsia="lv-LV"/>
              </w:rPr>
              <w:t>“57.</w:t>
            </w:r>
            <w:r w:rsidRPr="00936CDC">
              <w:rPr>
                <w:rFonts w:ascii="Times New Roman" w:hAnsi="Times New Roman"/>
                <w:sz w:val="24"/>
                <w:szCs w:val="24"/>
                <w:vertAlign w:val="superscript"/>
                <w:lang w:eastAsia="lv-LV"/>
              </w:rPr>
              <w:t>1</w:t>
            </w:r>
            <w:r w:rsidRPr="00936CDC">
              <w:rPr>
                <w:rFonts w:ascii="Times New Roman" w:hAnsi="Times New Roman"/>
                <w:sz w:val="24"/>
                <w:szCs w:val="24"/>
                <w:lang w:eastAsia="lv-LV"/>
              </w:rPr>
              <w:t xml:space="preserve"> </w:t>
            </w:r>
            <w:r w:rsidRPr="00936CDC">
              <w:rPr>
                <w:rFonts w:ascii="Times New Roman" w:hAnsi="Times New Roman"/>
                <w:bCs/>
                <w:sz w:val="24"/>
                <w:szCs w:val="24"/>
              </w:rPr>
              <w:t>Ārpusplāna vilcienu pieteikumu var iesniegt laikposmā, kas sākas pēc  šo noteikumu 6.</w:t>
            </w:r>
            <w:r w:rsidRPr="00936CDC">
              <w:rPr>
                <w:rFonts w:ascii="Times New Roman" w:hAnsi="Times New Roman"/>
                <w:bCs/>
                <w:sz w:val="24"/>
                <w:szCs w:val="24"/>
                <w:vertAlign w:val="superscript"/>
              </w:rPr>
              <w:t xml:space="preserve">1 </w:t>
            </w:r>
            <w:r w:rsidRPr="00936CDC">
              <w:rPr>
                <w:rFonts w:ascii="Times New Roman" w:hAnsi="Times New Roman"/>
                <w:bCs/>
                <w:sz w:val="24"/>
                <w:szCs w:val="24"/>
              </w:rPr>
              <w:t>punktā minēto pieteikumu iesniegšanas termiņa un beidzas attiecīgajā datumā, kas tīkla pārskatā noteikts kā ārpusplāna vilcienu pieteikumu iesniegšanas termiņš””.</w:t>
            </w:r>
          </w:p>
          <w:p w:rsidRPr="004B0E12" w:rsidR="00644C83" w:rsidP="00644C83" w:rsidRDefault="00644C83" w14:paraId="118D0139" w14:textId="77777777">
            <w:pPr>
              <w:shd w:val="clear" w:color="auto" w:fill="FFFFFF"/>
              <w:jc w:val="both"/>
            </w:pPr>
          </w:p>
        </w:tc>
        <w:tc>
          <w:tcPr>
            <w:tcW w:w="4111" w:type="dxa"/>
            <w:tcBorders>
              <w:top w:val="single" w:color="auto" w:sz="4" w:space="0"/>
              <w:left w:val="single" w:color="auto" w:sz="4" w:space="0"/>
              <w:bottom w:val="single" w:color="auto" w:sz="4" w:space="0"/>
              <w:right w:val="single" w:color="auto" w:sz="4" w:space="0"/>
            </w:tcBorders>
            <w:shd w:val="clear" w:color="auto" w:fill="auto"/>
          </w:tcPr>
          <w:p w:rsidR="00644C83" w:rsidP="00644C83" w:rsidRDefault="00644C83" w14:paraId="169C8469" w14:textId="77777777">
            <w:pPr>
              <w:ind w:right="12"/>
              <w:jc w:val="both"/>
              <w:rPr>
                <w:i/>
              </w:rPr>
            </w:pPr>
            <w:r w:rsidRPr="00936CDC">
              <w:rPr>
                <w:i/>
              </w:rPr>
              <w:lastRenderedPageBreak/>
              <w:t>6.iebildums:</w:t>
            </w:r>
          </w:p>
          <w:p w:rsidRPr="00936CDC" w:rsidR="00644C83" w:rsidP="00644C83" w:rsidRDefault="00644C83" w14:paraId="6CBF4BD5" w14:textId="0D906100">
            <w:pPr>
              <w:ind w:right="12"/>
              <w:jc w:val="both"/>
            </w:pPr>
            <w:r w:rsidRPr="00936CDC">
              <w:t>“Norādām, ka projekta 1. un 27. punkts ir savstarpēji dublējoši. Ievērojot minēto, lūdzam svītrot projekta 27. punktu vai novērst dublēšanos.”</w:t>
            </w:r>
          </w:p>
          <w:p w:rsidRPr="009D011C" w:rsidR="00644C83" w:rsidP="00644C83" w:rsidRDefault="00644C83" w14:paraId="69749436" w14:textId="77777777">
            <w:pPr>
              <w:ind w:right="12"/>
              <w:jc w:val="both"/>
              <w:rPr>
                <w:i/>
              </w:rPr>
            </w:pPr>
          </w:p>
        </w:tc>
        <w:tc>
          <w:tcPr>
            <w:tcW w:w="2551" w:type="dxa"/>
            <w:tcBorders>
              <w:top w:val="single" w:color="auto" w:sz="4" w:space="0"/>
              <w:left w:val="single" w:color="auto" w:sz="4" w:space="0"/>
              <w:bottom w:val="single" w:color="auto" w:sz="4" w:space="0"/>
              <w:right w:val="single" w:color="auto" w:sz="4" w:space="0"/>
            </w:tcBorders>
            <w:shd w:val="clear" w:color="auto" w:fill="auto"/>
          </w:tcPr>
          <w:p w:rsidRPr="006D05CD" w:rsidR="00644C83" w:rsidP="005B157A" w:rsidRDefault="00644C83" w14:paraId="3866D7C6" w14:textId="24B696FC">
            <w:pPr>
              <w:shd w:val="clear" w:color="auto" w:fill="FFFFFF"/>
              <w:jc w:val="both"/>
              <w:rPr>
                <w:b/>
                <w:iCs/>
              </w:rPr>
            </w:pPr>
            <w:r w:rsidRPr="00936CDC">
              <w:rPr>
                <w:b/>
                <w:shd w:val="clear" w:color="auto" w:fill="FFFFFF"/>
              </w:rPr>
              <w:t xml:space="preserve">Iebildums nav ņemts vērā. </w:t>
            </w:r>
            <w:r w:rsidRPr="00177257" w:rsidR="006C2AE4">
              <w:rPr>
                <w:b/>
                <w:bCs/>
              </w:rPr>
              <w:t xml:space="preserve">Saskaņā ar </w:t>
            </w:r>
            <w:r w:rsidRPr="00177257" w:rsidR="006C2AE4">
              <w:rPr>
                <w:b/>
                <w:color w:val="000000" w:themeColor="text1"/>
              </w:rPr>
              <w:t xml:space="preserve">Ministru kabineta 2009. gada 7. aprīļa noteikumu Nr. 300 “Ministru kabineta kārtības rullis” 99. punktu, iebildums tiek uzskatīts par </w:t>
            </w:r>
            <w:r w:rsidRPr="00177257" w:rsidR="006C2AE4">
              <w:rPr>
                <w:b/>
                <w:color w:val="000000" w:themeColor="text1"/>
              </w:rPr>
              <w:lastRenderedPageBreak/>
              <w:t>saskaņotu.</w:t>
            </w:r>
            <w:r w:rsidRPr="00936CDC">
              <w:rPr>
                <w:b/>
                <w:shd w:val="clear" w:color="auto" w:fill="FFFFFF"/>
              </w:rPr>
              <w:t>Skaidrojam:</w:t>
            </w:r>
            <w:r w:rsidRPr="00936CDC">
              <w:rPr>
                <w:shd w:val="clear" w:color="auto" w:fill="FFFFFF"/>
              </w:rPr>
              <w:t xml:space="preserve"> Šob</w:t>
            </w:r>
            <w:r>
              <w:rPr>
                <w:shd w:val="clear" w:color="auto" w:fill="FFFFFF"/>
              </w:rPr>
              <w:t xml:space="preserve">rīd Noteikumu </w:t>
            </w:r>
            <w:r w:rsidRPr="00936CDC">
              <w:rPr>
                <w:shd w:val="clear" w:color="auto" w:fill="FFFFFF"/>
              </w:rPr>
              <w:t xml:space="preserve"> sadaļā “Rīcība vilcienu kustības organizēšanai” pirms 58. un 59. punkta, kur noteikta rīcība ar ārpusplāna vilcieniem, nav regulēts būtisks jautājums darbā ar ārpusplāna vilcieniem – nav noteikts  termiņš, kādā iesniedzams ārpusplāna vilcienu pieteikums. Projekta 1. punktā tiek sniegta tikai ārpusplāna vilciena definīcija, bet 27. punktā tiek noteikts termiņš, kādā iesniedzams ārpusplāna vilcienu pieteikums.</w:t>
            </w:r>
          </w:p>
        </w:tc>
        <w:tc>
          <w:tcPr>
            <w:tcW w:w="3827" w:type="dxa"/>
            <w:tcBorders>
              <w:top w:val="single" w:color="auto" w:sz="4" w:space="0"/>
              <w:left w:val="single" w:color="auto" w:sz="4" w:space="0"/>
              <w:bottom w:val="single" w:color="auto" w:sz="4" w:space="0"/>
            </w:tcBorders>
            <w:shd w:val="clear" w:color="auto" w:fill="auto"/>
          </w:tcPr>
          <w:p w:rsidRPr="00936CDC" w:rsidR="006C2AE4" w:rsidP="006C2AE4" w:rsidRDefault="006C2AE4" w14:paraId="0E51ED0B" w14:textId="77777777">
            <w:pPr>
              <w:jc w:val="both"/>
              <w:rPr>
                <w:bCs/>
              </w:rPr>
            </w:pPr>
            <w:r w:rsidRPr="00936CDC">
              <w:rPr>
                <w:bCs/>
              </w:rPr>
              <w:lastRenderedPageBreak/>
              <w:t>“1. Izteikt 2.1.apakšpunktu šādā redakcijā:</w:t>
            </w:r>
          </w:p>
          <w:p w:rsidR="006C2AE4" w:rsidP="006C2AE4" w:rsidRDefault="006C2AE4" w14:paraId="77FF8AE5" w14:textId="77777777">
            <w:pPr>
              <w:jc w:val="both"/>
              <w:rPr>
                <w:bCs/>
              </w:rPr>
            </w:pPr>
            <w:r w:rsidRPr="00936CDC">
              <w:rPr>
                <w:bCs/>
              </w:rPr>
              <w:t>“2.1. ārpusplāna vilciens (ad hoc) – vilciens, kas izmanto infrastruktūras jaudu, par kuru pieteikums iesniegts pēc datuma, kas tīkla pārskatā noteikts kā pieteikumu novēlotais iesniegšan</w:t>
            </w:r>
            <w:r>
              <w:rPr>
                <w:bCs/>
              </w:rPr>
              <w:t>as termiņš.;</w:t>
            </w:r>
          </w:p>
          <w:p w:rsidRPr="00936CDC" w:rsidR="006C2AE4" w:rsidP="006C2AE4" w:rsidRDefault="006C2AE4" w14:paraId="21807379" w14:textId="77777777">
            <w:pPr>
              <w:jc w:val="both"/>
              <w:rPr>
                <w:bCs/>
              </w:rPr>
            </w:pPr>
          </w:p>
          <w:p w:rsidRPr="00936CDC" w:rsidR="006C2AE4" w:rsidP="006C2AE4" w:rsidRDefault="006C2AE4" w14:paraId="57DA9B3C" w14:textId="77777777">
            <w:pPr>
              <w:shd w:val="clear" w:color="auto" w:fill="FFFFFF"/>
              <w:jc w:val="both"/>
            </w:pPr>
            <w:r w:rsidRPr="00936CDC">
              <w:lastRenderedPageBreak/>
              <w:t>27. Papildināt noteikumus ar 57.</w:t>
            </w:r>
            <w:r w:rsidRPr="00936CDC">
              <w:rPr>
                <w:vertAlign w:val="superscript"/>
              </w:rPr>
              <w:t>1</w:t>
            </w:r>
            <w:r w:rsidRPr="00936CDC">
              <w:t xml:space="preserve"> punktu šādā redakcijā: </w:t>
            </w:r>
          </w:p>
          <w:p w:rsidRPr="00936CDC" w:rsidR="006C2AE4" w:rsidP="006C2AE4" w:rsidRDefault="006C2AE4" w14:paraId="78822210" w14:textId="77777777">
            <w:pPr>
              <w:pStyle w:val="ListParagraph"/>
              <w:shd w:val="clear" w:color="auto" w:fill="FFFFFF"/>
              <w:ind w:left="0"/>
              <w:jc w:val="both"/>
              <w:rPr>
                <w:rFonts w:ascii="Times New Roman" w:hAnsi="Times New Roman"/>
                <w:sz w:val="24"/>
                <w:szCs w:val="24"/>
                <w:lang w:eastAsia="lv-LV"/>
              </w:rPr>
            </w:pPr>
            <w:r w:rsidRPr="00936CDC">
              <w:rPr>
                <w:rFonts w:ascii="Times New Roman" w:hAnsi="Times New Roman"/>
                <w:sz w:val="24"/>
                <w:szCs w:val="24"/>
                <w:lang w:eastAsia="lv-LV"/>
              </w:rPr>
              <w:t>“57.</w:t>
            </w:r>
            <w:r w:rsidRPr="00936CDC">
              <w:rPr>
                <w:rFonts w:ascii="Times New Roman" w:hAnsi="Times New Roman"/>
                <w:sz w:val="24"/>
                <w:szCs w:val="24"/>
                <w:vertAlign w:val="superscript"/>
                <w:lang w:eastAsia="lv-LV"/>
              </w:rPr>
              <w:t>1</w:t>
            </w:r>
            <w:r w:rsidRPr="00936CDC">
              <w:rPr>
                <w:rFonts w:ascii="Times New Roman" w:hAnsi="Times New Roman"/>
                <w:sz w:val="24"/>
                <w:szCs w:val="24"/>
                <w:lang w:eastAsia="lv-LV"/>
              </w:rPr>
              <w:t xml:space="preserve"> </w:t>
            </w:r>
            <w:r w:rsidRPr="00936CDC">
              <w:rPr>
                <w:rFonts w:ascii="Times New Roman" w:hAnsi="Times New Roman"/>
                <w:bCs/>
                <w:sz w:val="24"/>
                <w:szCs w:val="24"/>
              </w:rPr>
              <w:t>Ārpusplāna vilcienu pieteikumu var iesniegt laikposmā, kas sākas pēc  šo noteikumu 6.</w:t>
            </w:r>
            <w:r w:rsidRPr="00936CDC">
              <w:rPr>
                <w:rFonts w:ascii="Times New Roman" w:hAnsi="Times New Roman"/>
                <w:bCs/>
                <w:sz w:val="24"/>
                <w:szCs w:val="24"/>
                <w:vertAlign w:val="superscript"/>
              </w:rPr>
              <w:t xml:space="preserve">1 </w:t>
            </w:r>
            <w:r w:rsidRPr="00936CDC">
              <w:rPr>
                <w:rFonts w:ascii="Times New Roman" w:hAnsi="Times New Roman"/>
                <w:bCs/>
                <w:sz w:val="24"/>
                <w:szCs w:val="24"/>
              </w:rPr>
              <w:t>punktā minēto pieteikumu iesniegšanas termiņa un beidzas attiecīgajā datumā, kas tīkla pārskatā noteikts kā ārpusplāna vilcienu pieteikumu iesniegšanas termiņš””.</w:t>
            </w:r>
          </w:p>
          <w:p w:rsidR="00644C83" w:rsidP="00644C83" w:rsidRDefault="00644C83" w14:paraId="5C709FF1" w14:textId="47F4F98E">
            <w:pPr>
              <w:jc w:val="both"/>
              <w:rPr>
                <w:b/>
                <w:bCs/>
              </w:rPr>
            </w:pPr>
          </w:p>
        </w:tc>
      </w:tr>
      <w:tr w:rsidRPr="00F435C8" w:rsidR="00AD4432" w:rsidTr="006A1C8A" w14:paraId="2BAC665D" w14:textId="77777777">
        <w:tc>
          <w:tcPr>
            <w:tcW w:w="1135" w:type="dxa"/>
            <w:tcBorders>
              <w:left w:val="single" w:color="000000" w:sz="6" w:space="0"/>
              <w:bottom w:val="single" w:color="auto" w:sz="4" w:space="0"/>
              <w:right w:val="single" w:color="000000" w:sz="6" w:space="0"/>
            </w:tcBorders>
            <w:shd w:val="clear" w:color="auto" w:fill="auto"/>
          </w:tcPr>
          <w:p w:rsidRPr="00F71B16" w:rsidR="00AD4432" w:rsidP="00F71B16" w:rsidRDefault="00F71B16" w14:paraId="444084E1" w14:textId="324616C9">
            <w:pPr>
              <w:pStyle w:val="ListParagraph"/>
              <w:numPr>
                <w:ilvl w:val="0"/>
                <w:numId w:val="9"/>
              </w:numPr>
              <w:jc w:val="both"/>
              <w:rPr>
                <w:b/>
              </w:rPr>
            </w:pPr>
            <w:r>
              <w:rPr>
                <w:b/>
              </w:rPr>
              <w:lastRenderedPageBreak/>
              <w:t xml:space="preserve"> </w:t>
            </w:r>
          </w:p>
        </w:tc>
        <w:tc>
          <w:tcPr>
            <w:tcW w:w="2835" w:type="dxa"/>
            <w:tcBorders>
              <w:top w:val="single" w:color="auto" w:sz="4" w:space="0"/>
              <w:left w:val="single" w:color="auto" w:sz="4" w:space="0"/>
              <w:bottom w:val="single" w:color="auto" w:sz="4" w:space="0"/>
              <w:right w:val="single" w:color="auto" w:sz="4" w:space="0"/>
            </w:tcBorders>
            <w:shd w:val="clear" w:color="auto" w:fill="auto"/>
          </w:tcPr>
          <w:p w:rsidRPr="00936CDC" w:rsidR="00AD4432" w:rsidP="00AD4432" w:rsidRDefault="00AD4432" w14:paraId="46B3C4E6" w14:textId="77777777">
            <w:pPr>
              <w:pStyle w:val="ListParagraph"/>
              <w:spacing w:before="100" w:beforeAutospacing="1" w:after="100" w:afterAutospacing="1" w:line="293" w:lineRule="atLeast"/>
              <w:ind w:left="0"/>
              <w:jc w:val="both"/>
              <w:rPr>
                <w:rFonts w:ascii="Times New Roman" w:hAnsi="Times New Roman"/>
                <w:sz w:val="24"/>
                <w:szCs w:val="24"/>
              </w:rPr>
            </w:pPr>
            <w:r w:rsidRPr="00936CDC">
              <w:rPr>
                <w:rFonts w:ascii="Times New Roman" w:hAnsi="Times New Roman"/>
                <w:sz w:val="24"/>
                <w:szCs w:val="24"/>
              </w:rPr>
              <w:t>“61.</w:t>
            </w:r>
            <w:r w:rsidRPr="00936CDC">
              <w:rPr>
                <w:rFonts w:ascii="Times New Roman" w:hAnsi="Times New Roman"/>
                <w:sz w:val="24"/>
                <w:szCs w:val="24"/>
                <w:vertAlign w:val="superscript"/>
              </w:rPr>
              <w:t>11</w:t>
            </w:r>
            <w:r w:rsidRPr="00936CDC">
              <w:rPr>
                <w:rFonts w:ascii="Times New Roman" w:hAnsi="Times New Roman"/>
                <w:sz w:val="24"/>
                <w:szCs w:val="24"/>
              </w:rPr>
              <w:t xml:space="preserve"> Šo noteikumu 61.</w:t>
            </w:r>
            <w:r w:rsidRPr="00936CDC">
              <w:rPr>
                <w:rFonts w:ascii="Times New Roman" w:hAnsi="Times New Roman"/>
                <w:sz w:val="24"/>
                <w:szCs w:val="24"/>
                <w:vertAlign w:val="superscript"/>
              </w:rPr>
              <w:t>10</w:t>
            </w:r>
            <w:r w:rsidRPr="00936CDC">
              <w:rPr>
                <w:rFonts w:ascii="Times New Roman" w:hAnsi="Times New Roman"/>
                <w:sz w:val="24"/>
                <w:szCs w:val="24"/>
              </w:rPr>
              <w:t> punktā minēto informāciju vai saiti uz tīmekļvietni, kur šī informācija atrodama, publicē tīkla pārskatā un regulāri atjaunina;</w:t>
            </w:r>
          </w:p>
          <w:p w:rsidRPr="00936CDC" w:rsidR="00AD4432" w:rsidP="00AD4432" w:rsidRDefault="00AD4432" w14:paraId="79957535" w14:textId="77777777">
            <w:r w:rsidRPr="00936CDC">
              <w:t>29. Papildināt 69. punktu ar otro un trešo teikumu šādā redakcijā:</w:t>
            </w:r>
          </w:p>
          <w:p w:rsidRPr="00936CDC" w:rsidR="00AD4432" w:rsidP="00AD4432" w:rsidRDefault="00AD4432" w14:paraId="75BE614B" w14:textId="77777777">
            <w:pPr>
              <w:jc w:val="both"/>
            </w:pPr>
            <w:r w:rsidRPr="00936CDC">
              <w:lastRenderedPageBreak/>
              <w:t>“Ja traucējumam ir iespējama ietekme uz pārrobežu satiksmi, infrastruktūras pārvaldītājs sniedz visu attiecīgo informāciju citiem infrastruktūras pārvaldītājiem, kuru tīklu un satiksmi šis traucējums var ietekmēt. Dzelzceļa infrastruktūras pārvaldītājs sadarbojas ar citiem infrastruktūras pārvaldītājiem, lai atjaunotu normālu pārrobežu satiksmi””.</w:t>
            </w:r>
          </w:p>
          <w:p w:rsidRPr="00936CDC" w:rsidR="00AD4432" w:rsidP="00AD4432" w:rsidRDefault="00AD4432" w14:paraId="7A367E75" w14:textId="77777777">
            <w:pPr>
              <w:jc w:val="both"/>
              <w:rPr>
                <w:bCs/>
              </w:rPr>
            </w:pPr>
          </w:p>
        </w:tc>
        <w:tc>
          <w:tcPr>
            <w:tcW w:w="4111" w:type="dxa"/>
            <w:tcBorders>
              <w:top w:val="single" w:color="auto" w:sz="4" w:space="0"/>
              <w:left w:val="single" w:color="auto" w:sz="4" w:space="0"/>
              <w:bottom w:val="single" w:color="auto" w:sz="4" w:space="0"/>
              <w:right w:val="single" w:color="auto" w:sz="4" w:space="0"/>
            </w:tcBorders>
            <w:shd w:val="clear" w:color="auto" w:fill="auto"/>
          </w:tcPr>
          <w:p w:rsidRPr="00936CDC" w:rsidR="00AD4432" w:rsidP="000E558F" w:rsidRDefault="00AD4432" w14:paraId="23A781F1" w14:textId="77777777">
            <w:pPr>
              <w:ind w:right="12"/>
              <w:jc w:val="both"/>
              <w:rPr>
                <w:i/>
              </w:rPr>
            </w:pPr>
            <w:r w:rsidRPr="00936CDC">
              <w:rPr>
                <w:i/>
              </w:rPr>
              <w:lastRenderedPageBreak/>
              <w:t>7.iebildums:</w:t>
            </w:r>
          </w:p>
          <w:p w:rsidRPr="00936CDC" w:rsidR="00AD4432" w:rsidP="000E558F" w:rsidRDefault="00AD4432" w14:paraId="6C30D297" w14:textId="77777777">
            <w:pPr>
              <w:ind w:right="12"/>
              <w:jc w:val="both"/>
            </w:pPr>
            <w:r w:rsidRPr="00936CDC">
              <w:t>“Lūdzam projekta 28. punktā izteiktajā noteikumu 61.</w:t>
            </w:r>
            <w:r w:rsidRPr="00936CDC">
              <w:rPr>
                <w:vertAlign w:val="superscript"/>
              </w:rPr>
              <w:t>11 </w:t>
            </w:r>
            <w:r w:rsidRPr="00936CDC">
              <w:t>punktā norādīt termiņu, kādā pienākums tiek īstenots, tādējādi novēršot, ka pienākums netiktu izpildīts. Minētais attiecas arī uz projekta 29. punktu.”</w:t>
            </w:r>
          </w:p>
          <w:p w:rsidRPr="00936CDC" w:rsidR="00AD4432" w:rsidP="000E558F" w:rsidRDefault="00AD4432" w14:paraId="179E3CBA" w14:textId="77777777">
            <w:pPr>
              <w:ind w:right="12"/>
              <w:jc w:val="both"/>
              <w:rPr>
                <w:i/>
              </w:rPr>
            </w:pPr>
          </w:p>
        </w:tc>
        <w:tc>
          <w:tcPr>
            <w:tcW w:w="2551" w:type="dxa"/>
            <w:tcBorders>
              <w:top w:val="single" w:color="auto" w:sz="4" w:space="0"/>
              <w:left w:val="single" w:color="auto" w:sz="4" w:space="0"/>
              <w:bottom w:val="single" w:color="auto" w:sz="4" w:space="0"/>
              <w:right w:val="single" w:color="auto" w:sz="4" w:space="0"/>
            </w:tcBorders>
            <w:shd w:val="clear" w:color="auto" w:fill="auto"/>
          </w:tcPr>
          <w:p w:rsidRPr="00936CDC" w:rsidR="00AD4432" w:rsidP="005B157A" w:rsidRDefault="00AD4432" w14:paraId="2C8C668A" w14:textId="43944805">
            <w:pPr>
              <w:shd w:val="clear" w:color="auto" w:fill="FFFFFF"/>
              <w:jc w:val="both"/>
              <w:rPr>
                <w:b/>
                <w:shd w:val="clear" w:color="auto" w:fill="FFFFFF"/>
              </w:rPr>
            </w:pPr>
            <w:r w:rsidRPr="00936CDC">
              <w:rPr>
                <w:b/>
                <w:shd w:val="clear" w:color="auto" w:fill="FFFFFF"/>
              </w:rPr>
              <w:t xml:space="preserve">Iebildums nav ņemts vērā. </w:t>
            </w:r>
            <w:r w:rsidRPr="00177257" w:rsidR="006C2AE4">
              <w:rPr>
                <w:b/>
                <w:bCs/>
              </w:rPr>
              <w:t xml:space="preserve">Saskaņā ar </w:t>
            </w:r>
            <w:r w:rsidRPr="00177257" w:rsidR="006C2AE4">
              <w:rPr>
                <w:b/>
                <w:color w:val="000000" w:themeColor="text1"/>
              </w:rPr>
              <w:t>Ministru kabineta 2009. gada 7. aprīļa noteikumu Nr. 300 “Ministru kabineta kārtības rullis” 99. punktu, iebildums tiek uzskatīts par saskaņotu.</w:t>
            </w:r>
            <w:r w:rsidR="000E558F">
              <w:rPr>
                <w:b/>
                <w:color w:val="000000" w:themeColor="text1"/>
              </w:rPr>
              <w:t xml:space="preserve"> </w:t>
            </w:r>
            <w:r w:rsidRPr="00936CDC">
              <w:rPr>
                <w:b/>
                <w:shd w:val="clear" w:color="auto" w:fill="FFFFFF"/>
              </w:rPr>
              <w:t>Skaidrojam:</w:t>
            </w:r>
            <w:r w:rsidRPr="00936CDC">
              <w:rPr>
                <w:shd w:val="clear" w:color="auto" w:fill="FFFFFF"/>
              </w:rPr>
              <w:t xml:space="preserve">  </w:t>
            </w:r>
            <w:r w:rsidRPr="00936CDC">
              <w:rPr>
                <w:shd w:val="clear" w:color="auto" w:fill="FFFFFF"/>
              </w:rPr>
              <w:lastRenderedPageBreak/>
              <w:t>Komisijas 2017. gada 4. septembra Deleģētais lēmums (ES) 2017/2075, ar kuru aizstāj VII pielikumu Eiropas Parlamenta un Padomes Direktīvai 2012/34/ES, ar ko izveido vienotu Eiropas dzelzceļa telpu (turpmāk – Lēmums 2017/2075/ES) neparedz konkrētu termiņu šiem pienākumiem, šie punkti precīzi pārņemti no  Lēmuma 2017/2075/ES, nosakot termiņu, mēs paredzētu stingrākas prasības, kā tas ir noteikts Lēmuma 2017/2075/ES.</w:t>
            </w:r>
          </w:p>
        </w:tc>
        <w:tc>
          <w:tcPr>
            <w:tcW w:w="3827" w:type="dxa"/>
            <w:tcBorders>
              <w:top w:val="single" w:color="auto" w:sz="4" w:space="0"/>
              <w:left w:val="single" w:color="auto" w:sz="4" w:space="0"/>
              <w:bottom w:val="single" w:color="auto" w:sz="4" w:space="0"/>
            </w:tcBorders>
            <w:shd w:val="clear" w:color="auto" w:fill="auto"/>
          </w:tcPr>
          <w:p w:rsidRPr="00936CDC" w:rsidR="006C2AE4" w:rsidP="006C2AE4" w:rsidRDefault="006C2AE4" w14:paraId="3F11F8C0" w14:textId="77777777">
            <w:pPr>
              <w:pStyle w:val="ListParagraph"/>
              <w:spacing w:before="100" w:beforeAutospacing="1" w:after="100" w:afterAutospacing="1" w:line="293" w:lineRule="atLeast"/>
              <w:ind w:left="0"/>
              <w:jc w:val="both"/>
              <w:rPr>
                <w:rFonts w:ascii="Times New Roman" w:hAnsi="Times New Roman"/>
                <w:sz w:val="24"/>
                <w:szCs w:val="24"/>
              </w:rPr>
            </w:pPr>
            <w:r w:rsidRPr="00936CDC">
              <w:rPr>
                <w:rFonts w:ascii="Times New Roman" w:hAnsi="Times New Roman"/>
                <w:sz w:val="24"/>
                <w:szCs w:val="24"/>
              </w:rPr>
              <w:lastRenderedPageBreak/>
              <w:t>“61.</w:t>
            </w:r>
            <w:r w:rsidRPr="00936CDC">
              <w:rPr>
                <w:rFonts w:ascii="Times New Roman" w:hAnsi="Times New Roman"/>
                <w:sz w:val="24"/>
                <w:szCs w:val="24"/>
                <w:vertAlign w:val="superscript"/>
              </w:rPr>
              <w:t>11</w:t>
            </w:r>
            <w:r w:rsidRPr="00936CDC">
              <w:rPr>
                <w:rFonts w:ascii="Times New Roman" w:hAnsi="Times New Roman"/>
                <w:sz w:val="24"/>
                <w:szCs w:val="24"/>
              </w:rPr>
              <w:t xml:space="preserve"> Šo noteikumu 61.</w:t>
            </w:r>
            <w:r w:rsidRPr="00936CDC">
              <w:rPr>
                <w:rFonts w:ascii="Times New Roman" w:hAnsi="Times New Roman"/>
                <w:sz w:val="24"/>
                <w:szCs w:val="24"/>
                <w:vertAlign w:val="superscript"/>
              </w:rPr>
              <w:t>10</w:t>
            </w:r>
            <w:r w:rsidRPr="00936CDC">
              <w:rPr>
                <w:rFonts w:ascii="Times New Roman" w:hAnsi="Times New Roman"/>
                <w:sz w:val="24"/>
                <w:szCs w:val="24"/>
              </w:rPr>
              <w:t> punktā minēto informāciju vai saiti uz tīmekļvietni, kur šī informācija atrodama, publicē tīkla pārskatā un regulāri atjaunina;</w:t>
            </w:r>
          </w:p>
          <w:p w:rsidRPr="00936CDC" w:rsidR="006C2AE4" w:rsidP="006C2AE4" w:rsidRDefault="006C2AE4" w14:paraId="2F80BD0F" w14:textId="77777777">
            <w:r w:rsidRPr="00936CDC">
              <w:t>29. Papildināt 69. punktu ar otro un trešo teikumu šādā redakcijā:</w:t>
            </w:r>
          </w:p>
          <w:p w:rsidRPr="00936CDC" w:rsidR="006C2AE4" w:rsidP="006C2AE4" w:rsidRDefault="006C2AE4" w14:paraId="78E1C415" w14:textId="77777777">
            <w:pPr>
              <w:jc w:val="both"/>
            </w:pPr>
            <w:r w:rsidRPr="00936CDC">
              <w:t xml:space="preserve">“Ja traucējumam ir iespējama ietekme uz pārrobežu satiksmi, infrastruktūras pārvaldītājs sniedz visu attiecīgo </w:t>
            </w:r>
            <w:r w:rsidRPr="00936CDC">
              <w:lastRenderedPageBreak/>
              <w:t>informāciju citiem infrastruktūras pārvaldītājiem, kuru tīklu un satiksmi šis traucējums var ietekmēt. Dzelzceļa infrastruktūras pārvaldītājs sadarbojas ar citiem infrastruktūras pārvaldītājiem, lai atjaunotu normālu pārrobežu satiksmi””.</w:t>
            </w:r>
          </w:p>
          <w:p w:rsidR="00AD4432" w:rsidP="00AD4432" w:rsidRDefault="00AD4432" w14:paraId="2146941A" w14:textId="20E5BC9B">
            <w:pPr>
              <w:jc w:val="both"/>
              <w:rPr>
                <w:b/>
                <w:bCs/>
              </w:rPr>
            </w:pPr>
          </w:p>
        </w:tc>
      </w:tr>
      <w:tr w:rsidRPr="00F435C8" w:rsidR="000E558F" w:rsidTr="006A1C8A" w14:paraId="13D74D40" w14:textId="77777777">
        <w:tc>
          <w:tcPr>
            <w:tcW w:w="1135" w:type="dxa"/>
            <w:tcBorders>
              <w:left w:val="single" w:color="000000" w:sz="6" w:space="0"/>
              <w:bottom w:val="single" w:color="auto" w:sz="4" w:space="0"/>
              <w:right w:val="single" w:color="000000" w:sz="6" w:space="0"/>
            </w:tcBorders>
            <w:shd w:val="clear" w:color="auto" w:fill="auto"/>
          </w:tcPr>
          <w:p w:rsidRPr="00644C83" w:rsidR="000E558F" w:rsidP="000E558F" w:rsidRDefault="000E558F" w14:paraId="236F9F5C" w14:textId="77777777">
            <w:pPr>
              <w:pStyle w:val="ListParagraph"/>
              <w:numPr>
                <w:ilvl w:val="0"/>
                <w:numId w:val="9"/>
              </w:numPr>
              <w:jc w:val="both"/>
              <w:rPr>
                <w:b/>
              </w:rPr>
            </w:pPr>
          </w:p>
        </w:tc>
        <w:tc>
          <w:tcPr>
            <w:tcW w:w="2835" w:type="dxa"/>
            <w:tcBorders>
              <w:top w:val="single" w:color="auto" w:sz="4" w:space="0"/>
              <w:left w:val="single" w:color="auto" w:sz="4" w:space="0"/>
              <w:bottom w:val="single" w:color="auto" w:sz="4" w:space="0"/>
              <w:right w:val="single" w:color="auto" w:sz="4" w:space="0"/>
            </w:tcBorders>
            <w:shd w:val="clear" w:color="auto" w:fill="auto"/>
          </w:tcPr>
          <w:p w:rsidRPr="00936CDC" w:rsidR="000E558F" w:rsidP="000E558F" w:rsidRDefault="000E558F" w14:paraId="07840921" w14:textId="77D57CCB">
            <w:pPr>
              <w:keepLines/>
              <w:shd w:val="clear" w:color="auto" w:fill="FFFFFF"/>
              <w:jc w:val="both"/>
            </w:pPr>
            <w:r w:rsidRPr="00936CDC">
              <w:t>“Direktīvas 2016/2370/ES 1. panta divpadsmitā daļa (Direktīvas Nr. </w:t>
            </w:r>
            <w:r w:rsidRPr="00936CDC" w:rsidR="00A004C9">
              <w:t>2</w:t>
            </w:r>
            <w:r w:rsidR="00A004C9">
              <w:t>012</w:t>
            </w:r>
            <w:r w:rsidRPr="00936CDC">
              <w:t>/34/ES 53. panta 3. punkta labojumi);</w:t>
            </w:r>
          </w:p>
          <w:p w:rsidRPr="00936CDC" w:rsidR="000E558F" w:rsidP="000E558F" w:rsidRDefault="000E558F" w14:paraId="6F5EE751" w14:textId="77777777">
            <w:pPr>
              <w:keepLines/>
              <w:shd w:val="clear" w:color="auto" w:fill="FFFFFF"/>
              <w:jc w:val="both"/>
            </w:pPr>
          </w:p>
          <w:p w:rsidRPr="00936CDC" w:rsidR="000E558F" w:rsidP="000E558F" w:rsidRDefault="000E558F" w14:paraId="0C414C0A" w14:textId="5421727A">
            <w:pPr>
              <w:pStyle w:val="ListParagraph"/>
              <w:spacing w:before="100" w:beforeAutospacing="1" w:after="100" w:afterAutospacing="1" w:line="293" w:lineRule="atLeast"/>
              <w:ind w:left="0"/>
              <w:jc w:val="both"/>
              <w:rPr>
                <w:rFonts w:ascii="Times New Roman" w:hAnsi="Times New Roman"/>
                <w:sz w:val="24"/>
                <w:szCs w:val="24"/>
              </w:rPr>
            </w:pPr>
            <w:r w:rsidRPr="00936CDC">
              <w:rPr>
                <w:rFonts w:ascii="Times New Roman" w:hAnsi="Times New Roman"/>
                <w:sz w:val="24"/>
                <w:szCs w:val="24"/>
              </w:rPr>
              <w:t>Direktīvas 2016/2370/ES 1. panta trīspadsmitā daļa (</w:t>
            </w:r>
            <w:r w:rsidRPr="002A5DD7">
              <w:rPr>
                <w:rFonts w:ascii="Times New Roman" w:hAnsi="Times New Roman"/>
                <w:sz w:val="24"/>
                <w:szCs w:val="24"/>
              </w:rPr>
              <w:t xml:space="preserve">Direktīvas </w:t>
            </w:r>
            <w:r w:rsidRPr="002A5DD7">
              <w:rPr>
                <w:rFonts w:ascii="Times New Roman" w:hAnsi="Times New Roman"/>
                <w:sz w:val="24"/>
                <w:szCs w:val="24"/>
              </w:rPr>
              <w:lastRenderedPageBreak/>
              <w:t>Nr. </w:t>
            </w:r>
            <w:r w:rsidRPr="002A5DD7" w:rsidR="00A004C9">
              <w:rPr>
                <w:rFonts w:ascii="Times New Roman" w:hAnsi="Times New Roman"/>
                <w:sz w:val="24"/>
                <w:szCs w:val="24"/>
              </w:rPr>
              <w:t>2</w:t>
            </w:r>
            <w:r w:rsidR="00A004C9">
              <w:rPr>
                <w:rFonts w:ascii="Times New Roman" w:hAnsi="Times New Roman"/>
                <w:sz w:val="24"/>
                <w:szCs w:val="24"/>
              </w:rPr>
              <w:t>012</w:t>
            </w:r>
            <w:r w:rsidRPr="002A5DD7">
              <w:rPr>
                <w:rFonts w:ascii="Times New Roman" w:hAnsi="Times New Roman"/>
                <w:sz w:val="24"/>
                <w:szCs w:val="24"/>
              </w:rPr>
              <w:t>/34/ES 54. panta 1. punkta labojumi)””.</w:t>
            </w:r>
            <w:r w:rsidRPr="00936CDC">
              <w:t xml:space="preserve"> </w:t>
            </w:r>
          </w:p>
        </w:tc>
        <w:tc>
          <w:tcPr>
            <w:tcW w:w="4111" w:type="dxa"/>
            <w:tcBorders>
              <w:top w:val="single" w:color="auto" w:sz="4" w:space="0"/>
              <w:left w:val="single" w:color="auto" w:sz="4" w:space="0"/>
              <w:bottom w:val="single" w:color="auto" w:sz="4" w:space="0"/>
              <w:right w:val="single" w:color="auto" w:sz="4" w:space="0"/>
            </w:tcBorders>
            <w:shd w:val="clear" w:color="auto" w:fill="auto"/>
          </w:tcPr>
          <w:p w:rsidRPr="00936CDC" w:rsidR="000E558F" w:rsidP="000E558F" w:rsidRDefault="000E558F" w14:paraId="04B01FE7" w14:textId="77777777">
            <w:pPr>
              <w:ind w:right="12"/>
              <w:jc w:val="both"/>
              <w:rPr>
                <w:i/>
              </w:rPr>
            </w:pPr>
            <w:r w:rsidRPr="00936CDC">
              <w:rPr>
                <w:i/>
              </w:rPr>
              <w:lastRenderedPageBreak/>
              <w:t>8.iebildums:</w:t>
            </w:r>
          </w:p>
          <w:p w:rsidRPr="00936CDC" w:rsidR="000E558F" w:rsidP="005B157A" w:rsidRDefault="000E558F" w14:paraId="73C49F68" w14:textId="77777777">
            <w:pPr>
              <w:ind w:right="12"/>
              <w:jc w:val="both"/>
            </w:pPr>
            <w:r w:rsidRPr="00936CDC">
              <w:t xml:space="preserve">“Norādām, ka projekta anotācijas V sadaļas 1. tabulā (turpmāk – Tabula) nav korekti atspoguļotas Eiropas Parlamenta un Padomes 2016. gada 14. decembra Direktīvas (ES) 2016/2370, ar ko Eiropas Parlamenta un Padomes Direktīvu 2012/34/ES groza attiecībā uz iekšzemes dzelzceļa pasažieru pārvadājumu tirgus atvēršanu </w:t>
            </w:r>
            <w:r w:rsidRPr="00936CDC">
              <w:lastRenderedPageBreak/>
              <w:t>un dzelzceļa infrastruktūras pārvaldību (turpmāk – Direktīva), vienības, kas pārņemtas projekta 26. un 29. punktā. Lai Tieslietu ministrijai būtu iespējams pilnīgi izvērtēt projekta atbilstību Direktīvai, lūdzam attiecīgi precizēt Tabulu.”</w:t>
            </w:r>
          </w:p>
          <w:p w:rsidRPr="00936CDC" w:rsidR="000E558F" w:rsidP="005B157A" w:rsidRDefault="000E558F" w14:paraId="400ED747" w14:textId="77777777">
            <w:pPr>
              <w:ind w:right="12"/>
              <w:jc w:val="both"/>
              <w:rPr>
                <w:i/>
              </w:rPr>
            </w:pPr>
          </w:p>
        </w:tc>
        <w:tc>
          <w:tcPr>
            <w:tcW w:w="2551" w:type="dxa"/>
            <w:tcBorders>
              <w:top w:val="single" w:color="auto" w:sz="4" w:space="0"/>
              <w:left w:val="single" w:color="auto" w:sz="4" w:space="0"/>
              <w:bottom w:val="single" w:color="auto" w:sz="4" w:space="0"/>
              <w:right w:val="single" w:color="auto" w:sz="4" w:space="0"/>
            </w:tcBorders>
            <w:shd w:val="clear" w:color="auto" w:fill="auto"/>
          </w:tcPr>
          <w:p w:rsidRPr="00936CDC" w:rsidR="000E558F" w:rsidP="005B157A" w:rsidRDefault="000E558F" w14:paraId="5924455A" w14:textId="25E7FAA9">
            <w:pPr>
              <w:shd w:val="clear" w:color="auto" w:fill="FFFFFF"/>
              <w:jc w:val="both"/>
              <w:rPr>
                <w:b/>
              </w:rPr>
            </w:pPr>
            <w:r w:rsidRPr="00936CDC">
              <w:rPr>
                <w:b/>
                <w:shd w:val="clear" w:color="auto" w:fill="FFFFFF"/>
              </w:rPr>
              <w:lastRenderedPageBreak/>
              <w:t xml:space="preserve">Iebildums nav ņemts vērā. </w:t>
            </w:r>
            <w:r w:rsidRPr="00177257">
              <w:rPr>
                <w:b/>
                <w:bCs/>
              </w:rPr>
              <w:t xml:space="preserve">Saskaņā ar </w:t>
            </w:r>
            <w:r w:rsidRPr="00177257">
              <w:rPr>
                <w:b/>
                <w:color w:val="000000" w:themeColor="text1"/>
              </w:rPr>
              <w:t xml:space="preserve">Ministru kabineta 2009. gada 7. aprīļa noteikumu Nr. 300 “Ministru kabineta kārtības rullis” 99. punktu, iebildums tiek uzskatīts par </w:t>
            </w:r>
            <w:r w:rsidRPr="00177257">
              <w:rPr>
                <w:b/>
                <w:color w:val="000000" w:themeColor="text1"/>
              </w:rPr>
              <w:lastRenderedPageBreak/>
              <w:t>saskaņotu.</w:t>
            </w:r>
            <w:r>
              <w:rPr>
                <w:b/>
                <w:color w:val="000000" w:themeColor="text1"/>
              </w:rPr>
              <w:t xml:space="preserve"> </w:t>
            </w:r>
            <w:r w:rsidRPr="00936CDC">
              <w:rPr>
                <w:b/>
              </w:rPr>
              <w:t>Skaidrojam</w:t>
            </w:r>
            <w:r>
              <w:rPr>
                <w:b/>
              </w:rPr>
              <w:t>:</w:t>
            </w:r>
          </w:p>
          <w:p w:rsidRPr="00936CDC" w:rsidR="000E558F" w:rsidP="005B157A" w:rsidRDefault="000E558F" w14:paraId="1D06F741" w14:textId="2EA81A5C">
            <w:pPr>
              <w:shd w:val="clear" w:color="auto" w:fill="FFFFFF"/>
              <w:jc w:val="both"/>
            </w:pPr>
            <w:r>
              <w:t>Precīzi p</w:t>
            </w:r>
            <w:r w:rsidRPr="00936CDC">
              <w:t xml:space="preserve">ārņemam </w:t>
            </w:r>
            <w:r>
              <w:t xml:space="preserve">Direktīvas </w:t>
            </w:r>
            <w:r w:rsidRPr="00936CDC">
              <w:t>2016/2370</w:t>
            </w:r>
            <w:r>
              <w:t>2</w:t>
            </w:r>
            <w:r w:rsidRPr="00936CDC">
              <w:t>6</w:t>
            </w:r>
            <w:r>
              <w:t>/ES</w:t>
            </w:r>
            <w:r w:rsidRPr="00936CDC">
              <w:t>. punkt</w:t>
            </w:r>
            <w:r>
              <w:t>u</w:t>
            </w:r>
            <w:r w:rsidRPr="00936CDC">
              <w:t>: </w:t>
            </w:r>
          </w:p>
          <w:p w:rsidRPr="00936CDC" w:rsidR="000E558F" w:rsidP="005B157A" w:rsidRDefault="000E558F" w14:paraId="2F482D4A" w14:textId="57DCE9CE">
            <w:pPr>
              <w:jc w:val="both"/>
            </w:pPr>
            <w:r w:rsidRPr="00936CDC">
              <w:t>“Direktīvas</w:t>
            </w:r>
            <w:r>
              <w:t xml:space="preserve"> </w:t>
            </w:r>
            <w:r w:rsidRPr="00936CDC">
              <w:t>2012/34/ES 53. panta 3. punktam pievieno šādu daļu:</w:t>
            </w:r>
          </w:p>
          <w:p w:rsidRPr="00936CDC" w:rsidR="000E558F" w:rsidP="005B157A" w:rsidRDefault="000E558F" w14:paraId="7EFE3DF4" w14:textId="77777777">
            <w:pPr>
              <w:shd w:val="clear" w:color="auto" w:fill="FFFFFF"/>
              <w:jc w:val="both"/>
            </w:pPr>
            <w:r w:rsidRPr="00936CDC">
              <w:t>“Ja regulatīvā iestāde to uzskata par nepieciešamu, tā var prasīt infrastruktūras pārvaldītājam šādu informāciju darīt tai pieejamu.”;</w:t>
            </w:r>
          </w:p>
          <w:p w:rsidRPr="00936CDC" w:rsidR="000E558F" w:rsidP="005B157A" w:rsidRDefault="000E558F" w14:paraId="7A9BC42E" w14:textId="77777777">
            <w:pPr>
              <w:shd w:val="clear" w:color="auto" w:fill="FFFFFF"/>
              <w:jc w:val="both"/>
            </w:pPr>
            <w:r w:rsidRPr="00936CDC">
              <w:t>29. punkts:</w:t>
            </w:r>
          </w:p>
          <w:p w:rsidRPr="00936CDC" w:rsidR="000E558F" w:rsidP="005B157A" w:rsidRDefault="000E558F" w14:paraId="44C2135E" w14:textId="64F58ED1">
            <w:pPr>
              <w:jc w:val="both"/>
            </w:pPr>
            <w:r w:rsidRPr="00936CDC">
              <w:t>“Direktīvas</w:t>
            </w:r>
            <w:r>
              <w:t xml:space="preserve"> </w:t>
            </w:r>
            <w:r w:rsidRPr="00936CDC">
              <w:t>2012/34/ES 54. panta 1. punktu aizstāj ar šādu:</w:t>
            </w:r>
          </w:p>
          <w:p w:rsidRPr="00936CDC" w:rsidR="000E558F" w:rsidP="005B157A" w:rsidRDefault="000E558F" w14:paraId="146588C0" w14:textId="646DE453">
            <w:pPr>
              <w:shd w:val="clear" w:color="auto" w:fill="FFFFFF"/>
              <w:jc w:val="both"/>
              <w:rPr>
                <w:b/>
                <w:shd w:val="clear" w:color="auto" w:fill="FFFFFF"/>
              </w:rPr>
            </w:pPr>
            <w:r w:rsidRPr="00936CDC">
              <w:t xml:space="preserve">“1.   Gadījumā, ja vilcienu kustībā rodas traucējumi, kurus izraisījusi tehniska kļūme vai negadījums, infrastruktūras pārvaldītājs veic visus vajadzīgos pasākumus, lai atjaunotu normālu stāvokli. Tādēļ pārvaldītājs izstrādā ārkārtas rīcības plānu, </w:t>
            </w:r>
            <w:r w:rsidRPr="00936CDC">
              <w:lastRenderedPageBreak/>
              <w:t>kurā uzskaita dažādās struktūras, kas jāinformē par nopietniem starpgadījumiem vai nopietniem vilcienu kustības traucējumiem.</w:t>
            </w:r>
            <w:r>
              <w:t xml:space="preserve"> </w:t>
            </w:r>
            <w:r w:rsidRPr="00936CDC">
              <w:rPr>
                <w:u w:val="single"/>
              </w:rPr>
              <w:t>Ja traucējumam ir iespējama ietekme uz pārrobežu satiksmi, infrastruktūras pārvaldītājs sniedz visu attiecīgo informāciju citiem infrastruktūras pārvaldītājiem, kuru tīklu un satiksmi šis traucējums varētu ietekmēt. Attiecīgie infrastruktūras pārvaldītāji sadarbojas, lai atjaunotu normālu pārrobežu satiksmi.”</w:t>
            </w:r>
            <w:r w:rsidRPr="00936CDC">
              <w:rPr>
                <w:u w:val="single"/>
                <w:shd w:val="clear" w:color="auto" w:fill="FFFF00"/>
              </w:rPr>
              <w:t xml:space="preserve"> </w:t>
            </w:r>
          </w:p>
        </w:tc>
        <w:tc>
          <w:tcPr>
            <w:tcW w:w="3827" w:type="dxa"/>
            <w:tcBorders>
              <w:top w:val="single" w:color="auto" w:sz="4" w:space="0"/>
              <w:left w:val="single" w:color="auto" w:sz="4" w:space="0"/>
              <w:bottom w:val="single" w:color="auto" w:sz="4" w:space="0"/>
            </w:tcBorders>
            <w:shd w:val="clear" w:color="auto" w:fill="auto"/>
          </w:tcPr>
          <w:p w:rsidRPr="00936CDC" w:rsidR="000E558F" w:rsidP="000E558F" w:rsidRDefault="000E558F" w14:paraId="3DBD80CE" w14:textId="2231A08B">
            <w:pPr>
              <w:keepLines/>
              <w:shd w:val="clear" w:color="auto" w:fill="FFFFFF"/>
              <w:jc w:val="both"/>
            </w:pPr>
            <w:r w:rsidRPr="00936CDC">
              <w:lastRenderedPageBreak/>
              <w:t>“Direktīvas 2016/2370/ES 1. panta divpadsmitā daļa (Direktīvas Nr. </w:t>
            </w:r>
            <w:r w:rsidRPr="00936CDC" w:rsidR="00A004C9">
              <w:t>2</w:t>
            </w:r>
            <w:r w:rsidR="00A004C9">
              <w:t>012</w:t>
            </w:r>
            <w:r w:rsidRPr="00936CDC">
              <w:t>/34/ES 53. panta 3. punkta labojumi);</w:t>
            </w:r>
          </w:p>
          <w:p w:rsidRPr="00936CDC" w:rsidR="000E558F" w:rsidP="000E558F" w:rsidRDefault="000E558F" w14:paraId="2A033C93" w14:textId="77777777">
            <w:pPr>
              <w:keepLines/>
              <w:shd w:val="clear" w:color="auto" w:fill="FFFFFF"/>
              <w:jc w:val="both"/>
            </w:pPr>
          </w:p>
          <w:p w:rsidR="000E558F" w:rsidP="000E558F" w:rsidRDefault="000E558F" w14:paraId="163BEBF2" w14:textId="64E8AF63">
            <w:pPr>
              <w:jc w:val="both"/>
              <w:rPr>
                <w:b/>
                <w:bCs/>
              </w:rPr>
            </w:pPr>
            <w:r w:rsidRPr="00936CDC">
              <w:t>Direktīvas 2016/2370/ES 1. panta trīspadsmitā daļa (</w:t>
            </w:r>
            <w:r w:rsidRPr="002A5DD7">
              <w:t>Direktīvas Nr. </w:t>
            </w:r>
            <w:r w:rsidRPr="002A5DD7" w:rsidR="00A004C9">
              <w:t>2</w:t>
            </w:r>
            <w:r w:rsidR="00A004C9">
              <w:t>012</w:t>
            </w:r>
            <w:r w:rsidRPr="002A5DD7">
              <w:t>/34/ES 54. panta 1. punkta labojumi)””.</w:t>
            </w:r>
            <w:r w:rsidRPr="00936CDC">
              <w:t xml:space="preserve"> </w:t>
            </w:r>
          </w:p>
        </w:tc>
      </w:tr>
      <w:tr w:rsidRPr="00F435C8" w:rsidR="000E558F" w:rsidTr="00A8237E" w14:paraId="3A2E1093" w14:textId="77777777">
        <w:tc>
          <w:tcPr>
            <w:tcW w:w="1135" w:type="dxa"/>
            <w:tcBorders>
              <w:left w:val="single" w:color="000000" w:sz="6" w:space="0"/>
              <w:bottom w:val="single" w:color="auto" w:sz="4" w:space="0"/>
              <w:right w:val="single" w:color="000000" w:sz="6" w:space="0"/>
            </w:tcBorders>
            <w:shd w:val="clear" w:color="auto" w:fill="auto"/>
          </w:tcPr>
          <w:p w:rsidRPr="00F435C8" w:rsidR="000E558F" w:rsidP="000E558F" w:rsidRDefault="000E558F" w14:paraId="7A506291" w14:textId="6FC955FE">
            <w:pPr>
              <w:pStyle w:val="ListParagraph"/>
              <w:numPr>
                <w:ilvl w:val="0"/>
                <w:numId w:val="9"/>
              </w:numPr>
              <w:jc w:val="both"/>
            </w:pPr>
          </w:p>
        </w:tc>
        <w:tc>
          <w:tcPr>
            <w:tcW w:w="2835" w:type="dxa"/>
            <w:tcBorders>
              <w:left w:val="single" w:color="000000" w:sz="6" w:space="0"/>
              <w:bottom w:val="single" w:color="auto" w:sz="4" w:space="0"/>
              <w:right w:val="single" w:color="000000" w:sz="6" w:space="0"/>
            </w:tcBorders>
            <w:shd w:val="clear" w:color="auto" w:fill="auto"/>
          </w:tcPr>
          <w:p w:rsidRPr="004B0E12" w:rsidR="000E558F" w:rsidP="000E558F" w:rsidRDefault="000E558F" w14:paraId="78E259F8" w14:textId="3729D463">
            <w:pPr>
              <w:shd w:val="clear" w:color="auto" w:fill="FFFFFF"/>
              <w:jc w:val="both"/>
            </w:pPr>
            <w:r>
              <w:t>Skatīt projektu</w:t>
            </w:r>
          </w:p>
        </w:tc>
        <w:tc>
          <w:tcPr>
            <w:tcW w:w="4111" w:type="dxa"/>
            <w:tcBorders>
              <w:left w:val="single" w:color="000000" w:sz="6" w:space="0"/>
              <w:bottom w:val="single" w:color="auto" w:sz="4" w:space="0"/>
              <w:right w:val="single" w:color="000000" w:sz="6" w:space="0"/>
            </w:tcBorders>
            <w:shd w:val="clear" w:color="auto" w:fill="auto"/>
          </w:tcPr>
          <w:p w:rsidRPr="009D011C" w:rsidR="000E558F" w:rsidP="000E558F" w:rsidRDefault="000E558F" w14:paraId="5AC5A651" w14:textId="77777777">
            <w:pPr>
              <w:ind w:right="12"/>
              <w:jc w:val="both"/>
              <w:rPr>
                <w:i/>
              </w:rPr>
            </w:pPr>
            <w:r w:rsidRPr="009D011C">
              <w:rPr>
                <w:i/>
              </w:rPr>
              <w:t>9.iebildums:</w:t>
            </w:r>
          </w:p>
          <w:p w:rsidR="000E558F" w:rsidP="000E558F" w:rsidRDefault="000E558F" w14:paraId="6B8A4EC9" w14:textId="4D9D6053">
            <w:pPr>
              <w:ind w:right="12"/>
              <w:jc w:val="both"/>
            </w:pPr>
            <w:r>
              <w:t>“</w:t>
            </w:r>
            <w:r w:rsidRPr="00816F82">
              <w:t>Norādām, ka Lēmuma VII pielikuma 6. punkta otrajā teikumā un 11. un 13. punktā ietverta rīcības brīvība dalībvalstij attiecībā uz konkrēto regulējumu. Ievērojot minēto, lūdzam papildināt Tabulu atbilstoši instrukcijas 56.5. apakšpunktam.</w:t>
            </w:r>
            <w:r>
              <w:t>”</w:t>
            </w:r>
          </w:p>
          <w:p w:rsidRPr="00816F82" w:rsidR="00A004C9" w:rsidP="000E558F" w:rsidRDefault="00A004C9" w14:paraId="2985378E" w14:textId="77777777">
            <w:pPr>
              <w:ind w:right="12"/>
              <w:jc w:val="both"/>
            </w:pPr>
          </w:p>
          <w:p w:rsidRPr="009D011C" w:rsidR="000E558F" w:rsidP="000E558F" w:rsidRDefault="000E558F" w14:paraId="1EA284B1" w14:textId="77777777">
            <w:pPr>
              <w:ind w:right="12"/>
              <w:jc w:val="both"/>
              <w:rPr>
                <w:i/>
              </w:rPr>
            </w:pPr>
          </w:p>
        </w:tc>
        <w:tc>
          <w:tcPr>
            <w:tcW w:w="2551" w:type="dxa"/>
            <w:tcBorders>
              <w:left w:val="single" w:color="000000" w:sz="6" w:space="0"/>
              <w:bottom w:val="single" w:color="auto" w:sz="4" w:space="0"/>
              <w:right w:val="single" w:color="000000" w:sz="6" w:space="0"/>
            </w:tcBorders>
            <w:shd w:val="clear" w:color="auto" w:fill="auto"/>
          </w:tcPr>
          <w:p w:rsidRPr="00BD4EDC" w:rsidR="000E558F" w:rsidP="000E558F" w:rsidRDefault="000E558F" w14:paraId="5BC94F0B" w14:textId="33FD5B4C">
            <w:pPr>
              <w:shd w:val="clear" w:color="auto" w:fill="FFFFFF"/>
              <w:rPr>
                <w:b/>
                <w:iCs/>
              </w:rPr>
            </w:pPr>
            <w:r w:rsidRPr="00BD4EDC">
              <w:rPr>
                <w:b/>
              </w:rPr>
              <w:t>Iebildums ņemts vērā.</w:t>
            </w:r>
          </w:p>
        </w:tc>
        <w:tc>
          <w:tcPr>
            <w:tcW w:w="3827" w:type="dxa"/>
            <w:tcBorders>
              <w:top w:val="single" w:color="auto" w:sz="4" w:space="0"/>
              <w:left w:val="single" w:color="auto" w:sz="4" w:space="0"/>
              <w:bottom w:val="single" w:color="auto" w:sz="4" w:space="0"/>
            </w:tcBorders>
            <w:shd w:val="clear" w:color="auto" w:fill="auto"/>
          </w:tcPr>
          <w:p w:rsidRPr="00BD4EDC" w:rsidR="000E558F" w:rsidP="000E558F" w:rsidRDefault="000E558F" w14:paraId="54EA438B" w14:textId="386DECE2">
            <w:pPr>
              <w:jc w:val="both"/>
              <w:rPr>
                <w:b/>
                <w:bCs/>
              </w:rPr>
            </w:pPr>
            <w:r>
              <w:rPr>
                <w:b/>
              </w:rPr>
              <w:t>Anotācijas V sadaļas T</w:t>
            </w:r>
            <w:r w:rsidRPr="00BD4EDC">
              <w:rPr>
                <w:b/>
              </w:rPr>
              <w:t>abula precizēta.</w:t>
            </w:r>
          </w:p>
        </w:tc>
      </w:tr>
      <w:tr w:rsidRPr="00F435C8" w:rsidR="000E558F" w:rsidTr="00DD0D09" w14:paraId="3092F737" w14:textId="77777777">
        <w:tc>
          <w:tcPr>
            <w:tcW w:w="14459" w:type="dxa"/>
            <w:gridSpan w:val="5"/>
            <w:tcBorders>
              <w:left w:val="single" w:color="000000" w:sz="6" w:space="0"/>
              <w:bottom w:val="single" w:color="auto" w:sz="4" w:space="0"/>
            </w:tcBorders>
            <w:shd w:val="clear" w:color="auto" w:fill="auto"/>
          </w:tcPr>
          <w:p w:rsidR="000E558F" w:rsidP="000E558F" w:rsidRDefault="000E558F" w14:paraId="01765DEF" w14:textId="77777777">
            <w:pPr>
              <w:jc w:val="center"/>
              <w:rPr>
                <w:b/>
              </w:rPr>
            </w:pPr>
            <w:r w:rsidRPr="00C41C81">
              <w:rPr>
                <w:b/>
              </w:rPr>
              <w:lastRenderedPageBreak/>
              <w:t>Satiksmes ministrijas priekšlikumi</w:t>
            </w:r>
          </w:p>
          <w:p w:rsidRPr="00C41C81" w:rsidR="000E558F" w:rsidP="000E558F" w:rsidRDefault="000E558F" w14:paraId="2D62563C" w14:textId="2A92A7AF">
            <w:pPr>
              <w:jc w:val="center"/>
              <w:rPr>
                <w:b/>
              </w:rPr>
            </w:pPr>
          </w:p>
        </w:tc>
      </w:tr>
      <w:tr w:rsidRPr="00F435C8" w:rsidR="000E558F" w:rsidTr="00A8237E" w14:paraId="7C909285" w14:textId="77777777">
        <w:tc>
          <w:tcPr>
            <w:tcW w:w="1135" w:type="dxa"/>
            <w:tcBorders>
              <w:left w:val="single" w:color="000000" w:sz="6" w:space="0"/>
              <w:bottom w:val="single" w:color="auto" w:sz="4" w:space="0"/>
              <w:right w:val="single" w:color="000000" w:sz="6" w:space="0"/>
            </w:tcBorders>
            <w:shd w:val="clear" w:color="auto" w:fill="auto"/>
          </w:tcPr>
          <w:p w:rsidRPr="00F435C8" w:rsidR="000E558F" w:rsidP="000E558F" w:rsidRDefault="000E558F" w14:paraId="4EB5C277" w14:textId="361F2F06">
            <w:pPr>
              <w:pStyle w:val="ListParagraph"/>
              <w:numPr>
                <w:ilvl w:val="0"/>
                <w:numId w:val="9"/>
              </w:numPr>
              <w:jc w:val="both"/>
            </w:pPr>
          </w:p>
        </w:tc>
        <w:tc>
          <w:tcPr>
            <w:tcW w:w="2835" w:type="dxa"/>
            <w:tcBorders>
              <w:left w:val="single" w:color="000000" w:sz="6" w:space="0"/>
              <w:bottom w:val="single" w:color="auto" w:sz="4" w:space="0"/>
              <w:right w:val="single" w:color="000000" w:sz="6" w:space="0"/>
            </w:tcBorders>
            <w:shd w:val="clear" w:color="auto" w:fill="auto"/>
          </w:tcPr>
          <w:p w:rsidRPr="00193A07" w:rsidR="000E558F" w:rsidP="000E558F" w:rsidRDefault="000E558F" w14:paraId="15D80EB8" w14:textId="77777777">
            <w:pPr>
              <w:pStyle w:val="ListParagraph"/>
              <w:spacing w:before="100" w:beforeAutospacing="1" w:after="100" w:afterAutospacing="1" w:line="293" w:lineRule="atLeast"/>
              <w:ind w:left="0"/>
              <w:jc w:val="both"/>
              <w:rPr>
                <w:rFonts w:ascii="Times New Roman" w:hAnsi="Times New Roman"/>
                <w:sz w:val="24"/>
                <w:szCs w:val="24"/>
              </w:rPr>
            </w:pPr>
            <w:r w:rsidRPr="00193A07">
              <w:rPr>
                <w:rFonts w:ascii="Times New Roman" w:hAnsi="Times New Roman"/>
                <w:sz w:val="24"/>
                <w:szCs w:val="24"/>
              </w:rPr>
              <w:t>“61.</w:t>
            </w:r>
            <w:r w:rsidRPr="00193A07">
              <w:rPr>
                <w:rFonts w:ascii="Times New Roman" w:hAnsi="Times New Roman"/>
                <w:sz w:val="24"/>
                <w:szCs w:val="24"/>
                <w:vertAlign w:val="superscript"/>
              </w:rPr>
              <w:t xml:space="preserve">5  </w:t>
            </w:r>
            <w:r w:rsidRPr="00193A07">
              <w:rPr>
                <w:rFonts w:ascii="Times New Roman" w:hAnsi="Times New Roman"/>
                <w:sz w:val="24"/>
                <w:szCs w:val="24"/>
              </w:rPr>
              <w:t>Saskaņošanu pirms otrās publicēšanas pabeidz:;</w:t>
            </w:r>
          </w:p>
          <w:p w:rsidRPr="00193A07" w:rsidR="000E558F" w:rsidP="000E558F" w:rsidRDefault="000E558F" w14:paraId="1CB97858" w14:textId="77777777">
            <w:pPr>
              <w:pStyle w:val="ListParagraph"/>
              <w:spacing w:before="100" w:beforeAutospacing="1" w:after="100" w:afterAutospacing="1" w:line="293" w:lineRule="atLeast"/>
              <w:ind w:left="0" w:firstLine="1069"/>
              <w:jc w:val="both"/>
              <w:rPr>
                <w:rFonts w:ascii="Times New Roman" w:hAnsi="Times New Roman"/>
                <w:sz w:val="24"/>
                <w:szCs w:val="24"/>
              </w:rPr>
            </w:pPr>
          </w:p>
          <w:p w:rsidRPr="00193A07" w:rsidR="000E558F" w:rsidP="000E558F" w:rsidRDefault="000E558F" w14:paraId="124A9719" w14:textId="70A34C0D">
            <w:pPr>
              <w:pStyle w:val="ListParagraph"/>
              <w:spacing w:before="100" w:beforeAutospacing="1" w:after="100" w:afterAutospacing="1" w:line="293" w:lineRule="atLeast"/>
              <w:ind w:left="0"/>
              <w:jc w:val="both"/>
              <w:rPr>
                <w:rFonts w:ascii="Times New Roman" w:hAnsi="Times New Roman"/>
                <w:sz w:val="24"/>
                <w:szCs w:val="24"/>
              </w:rPr>
            </w:pPr>
            <w:r w:rsidRPr="00193A07">
              <w:rPr>
                <w:rFonts w:ascii="Times New Roman" w:hAnsi="Times New Roman"/>
                <w:sz w:val="24"/>
                <w:szCs w:val="24"/>
              </w:rPr>
              <w:t>61.</w:t>
            </w:r>
            <w:r w:rsidRPr="00193A07">
              <w:rPr>
                <w:rFonts w:ascii="Times New Roman" w:hAnsi="Times New Roman"/>
                <w:sz w:val="24"/>
                <w:szCs w:val="24"/>
                <w:vertAlign w:val="superscript"/>
              </w:rPr>
              <w:t>6</w:t>
            </w:r>
            <w:r w:rsidRPr="00193A07">
              <w:rPr>
                <w:rFonts w:ascii="Times New Roman" w:hAnsi="Times New Roman"/>
                <w:sz w:val="24"/>
                <w:szCs w:val="24"/>
              </w:rPr>
              <w:t> Vajadzības gadījumā infrastruktūras pārvaldītāji uzaicina pieteikumu iesniedzējus, kuri darbojas attiecīgajās infrastruktūras iecirknī, un galvenos attiecīgos apkalpes vietu operatorus ies</w:t>
            </w:r>
            <w:r>
              <w:rPr>
                <w:rFonts w:ascii="Times New Roman" w:hAnsi="Times New Roman"/>
                <w:sz w:val="24"/>
                <w:szCs w:val="24"/>
              </w:rPr>
              <w:t>aistīties minētajā saskaņošanā.</w:t>
            </w:r>
          </w:p>
          <w:p w:rsidRPr="00193A07" w:rsidR="000E558F" w:rsidP="000E558F" w:rsidRDefault="000E558F" w14:paraId="5293465D" w14:textId="77777777">
            <w:pPr>
              <w:pStyle w:val="ListParagraph"/>
              <w:spacing w:before="100" w:beforeAutospacing="1" w:after="100" w:afterAutospacing="1" w:line="293" w:lineRule="atLeast"/>
              <w:ind w:left="0"/>
              <w:jc w:val="both"/>
              <w:rPr>
                <w:rFonts w:ascii="Times New Roman" w:hAnsi="Times New Roman"/>
                <w:sz w:val="24"/>
                <w:szCs w:val="24"/>
              </w:rPr>
            </w:pPr>
          </w:p>
          <w:p w:rsidRPr="00193A07" w:rsidR="000E558F" w:rsidP="000E558F" w:rsidRDefault="000E558F" w14:paraId="2DF22C25" w14:textId="77777777">
            <w:pPr>
              <w:pStyle w:val="ListParagraph"/>
              <w:spacing w:before="100" w:beforeAutospacing="1" w:after="100" w:afterAutospacing="1" w:line="293" w:lineRule="atLeast"/>
              <w:ind w:left="0"/>
              <w:jc w:val="both"/>
              <w:rPr>
                <w:rFonts w:ascii="Times New Roman" w:hAnsi="Times New Roman"/>
                <w:sz w:val="24"/>
                <w:szCs w:val="24"/>
              </w:rPr>
            </w:pPr>
          </w:p>
        </w:tc>
        <w:tc>
          <w:tcPr>
            <w:tcW w:w="4111" w:type="dxa"/>
            <w:tcBorders>
              <w:left w:val="single" w:color="000000" w:sz="6" w:space="0"/>
              <w:bottom w:val="single" w:color="auto" w:sz="4" w:space="0"/>
              <w:right w:val="single" w:color="000000" w:sz="6" w:space="0"/>
            </w:tcBorders>
            <w:shd w:val="clear" w:color="auto" w:fill="auto"/>
          </w:tcPr>
          <w:p w:rsidRPr="00C41C81" w:rsidR="000E558F" w:rsidP="000E558F" w:rsidRDefault="000E558F" w14:paraId="50B59DB4" w14:textId="77777777">
            <w:pPr>
              <w:pStyle w:val="CommentText"/>
              <w:jc w:val="both"/>
              <w:rPr>
                <w:color w:val="000000"/>
                <w:sz w:val="24"/>
                <w:szCs w:val="24"/>
                <w:shd w:val="clear" w:color="auto" w:fill="FFFFFF"/>
              </w:rPr>
            </w:pPr>
            <w:r w:rsidRPr="00C41C81">
              <w:rPr>
                <w:sz w:val="24"/>
                <w:szCs w:val="24"/>
              </w:rPr>
              <w:t>Nepieciešams precizēt projekta 28. punktā izteiktos 61.</w:t>
            </w:r>
            <w:r w:rsidRPr="00C41C81">
              <w:rPr>
                <w:sz w:val="24"/>
                <w:szCs w:val="24"/>
                <w:vertAlign w:val="superscript"/>
              </w:rPr>
              <w:t>5</w:t>
            </w:r>
            <w:r w:rsidRPr="00C41C81">
              <w:rPr>
                <w:sz w:val="24"/>
                <w:szCs w:val="24"/>
              </w:rPr>
              <w:t>, 61.</w:t>
            </w:r>
            <w:r w:rsidRPr="00C41C81">
              <w:rPr>
                <w:sz w:val="24"/>
                <w:szCs w:val="24"/>
                <w:vertAlign w:val="superscript"/>
              </w:rPr>
              <w:t>6</w:t>
            </w:r>
            <w:r w:rsidRPr="00C41C81">
              <w:rPr>
                <w:sz w:val="24"/>
                <w:szCs w:val="24"/>
              </w:rPr>
              <w:t> punktus, nosakot, ka šādi publicēšanas nosacījumi ir piemērojami tikai 61.</w:t>
            </w:r>
            <w:r w:rsidRPr="00C41C81">
              <w:rPr>
                <w:sz w:val="24"/>
                <w:szCs w:val="24"/>
                <w:vertAlign w:val="superscript"/>
              </w:rPr>
              <w:t>4</w:t>
            </w:r>
            <w:r w:rsidRPr="00C41C81">
              <w:rPr>
                <w:sz w:val="24"/>
                <w:szCs w:val="24"/>
              </w:rPr>
              <w:t> punktā minētajā gadījumā “</w:t>
            </w:r>
            <w:r w:rsidRPr="00C41C81">
              <w:rPr>
                <w:color w:val="000000"/>
                <w:sz w:val="24"/>
                <w:szCs w:val="24"/>
                <w:shd w:val="clear" w:color="auto" w:fill="FFFFFF"/>
              </w:rPr>
              <w:t xml:space="preserve">Ja jaudas ierobežojumi ietekmē vairākus tīklus”, tā precīzāk pārņemot Lēmumā 2017/2075/ES noteikto. </w:t>
            </w:r>
          </w:p>
          <w:p w:rsidRPr="00C41C81" w:rsidR="000E558F" w:rsidP="000E558F" w:rsidRDefault="000E558F" w14:paraId="71957B2D" w14:textId="77777777">
            <w:pPr>
              <w:pStyle w:val="ListParagraph"/>
              <w:spacing w:before="100" w:beforeAutospacing="1" w:after="100" w:afterAutospacing="1" w:line="293" w:lineRule="atLeast"/>
              <w:ind w:left="0"/>
              <w:jc w:val="both"/>
              <w:rPr>
                <w:rFonts w:ascii="Times New Roman" w:hAnsi="Times New Roman"/>
                <w:sz w:val="24"/>
                <w:szCs w:val="24"/>
              </w:rPr>
            </w:pPr>
          </w:p>
          <w:p w:rsidRPr="00C41C81" w:rsidR="000E558F" w:rsidP="000E558F" w:rsidRDefault="000E558F" w14:paraId="3E9443E9" w14:textId="77777777">
            <w:pPr>
              <w:ind w:right="12"/>
              <w:jc w:val="both"/>
              <w:rPr>
                <w:i/>
              </w:rPr>
            </w:pPr>
          </w:p>
        </w:tc>
        <w:tc>
          <w:tcPr>
            <w:tcW w:w="2551" w:type="dxa"/>
            <w:tcBorders>
              <w:left w:val="single" w:color="000000" w:sz="6" w:space="0"/>
              <w:bottom w:val="single" w:color="auto" w:sz="4" w:space="0"/>
              <w:right w:val="single" w:color="000000" w:sz="6" w:space="0"/>
            </w:tcBorders>
            <w:shd w:val="clear" w:color="auto" w:fill="auto"/>
          </w:tcPr>
          <w:p w:rsidRPr="00C41C81" w:rsidR="000E558F" w:rsidP="000E558F" w:rsidRDefault="000E558F" w14:paraId="58FE0B86" w14:textId="0EA3647D">
            <w:pPr>
              <w:shd w:val="clear" w:color="auto" w:fill="FFFFFF"/>
              <w:rPr>
                <w:b/>
              </w:rPr>
            </w:pPr>
            <w:r w:rsidRPr="00C41C81">
              <w:rPr>
                <w:b/>
              </w:rPr>
              <w:t>Precizēts projekts</w:t>
            </w:r>
          </w:p>
        </w:tc>
        <w:tc>
          <w:tcPr>
            <w:tcW w:w="3827" w:type="dxa"/>
            <w:tcBorders>
              <w:top w:val="single" w:color="auto" w:sz="4" w:space="0"/>
              <w:left w:val="single" w:color="auto" w:sz="4" w:space="0"/>
              <w:bottom w:val="single" w:color="auto" w:sz="4" w:space="0"/>
            </w:tcBorders>
            <w:shd w:val="clear" w:color="auto" w:fill="auto"/>
          </w:tcPr>
          <w:p w:rsidRPr="00193A07" w:rsidR="000E558F" w:rsidP="000E558F" w:rsidRDefault="000E558F" w14:paraId="2D52BBB2" w14:textId="77777777">
            <w:pPr>
              <w:pStyle w:val="ListParagraph"/>
              <w:spacing w:before="100" w:beforeAutospacing="1" w:after="100" w:afterAutospacing="1" w:line="293" w:lineRule="atLeast"/>
              <w:ind w:left="0"/>
              <w:jc w:val="both"/>
              <w:rPr>
                <w:rFonts w:ascii="Times New Roman" w:hAnsi="Times New Roman"/>
                <w:b/>
                <w:sz w:val="24"/>
                <w:szCs w:val="24"/>
              </w:rPr>
            </w:pPr>
            <w:r w:rsidRPr="00193A07">
              <w:rPr>
                <w:rFonts w:ascii="Times New Roman" w:hAnsi="Times New Roman"/>
                <w:b/>
                <w:sz w:val="24"/>
                <w:szCs w:val="24"/>
              </w:rPr>
              <w:t>Precizēts projekts:</w:t>
            </w:r>
          </w:p>
          <w:p w:rsidRPr="00193A07" w:rsidR="000E558F" w:rsidP="000E558F" w:rsidRDefault="000E558F" w14:paraId="6800C909" w14:textId="77777777">
            <w:pPr>
              <w:pStyle w:val="ListParagraph"/>
              <w:spacing w:before="100" w:beforeAutospacing="1" w:after="100" w:afterAutospacing="1" w:line="293" w:lineRule="atLeast"/>
              <w:ind w:left="0"/>
              <w:jc w:val="both"/>
              <w:rPr>
                <w:rStyle w:val="CommentReference"/>
                <w:rFonts w:ascii="Times New Roman" w:hAnsi="Times New Roman" w:eastAsia="Calibri"/>
                <w:sz w:val="24"/>
                <w:szCs w:val="24"/>
              </w:rPr>
            </w:pPr>
            <w:r w:rsidRPr="00193A07">
              <w:rPr>
                <w:rFonts w:ascii="Times New Roman" w:hAnsi="Times New Roman"/>
                <w:sz w:val="24"/>
                <w:szCs w:val="24"/>
              </w:rPr>
              <w:t>“61.</w:t>
            </w:r>
            <w:r w:rsidRPr="00193A07">
              <w:rPr>
                <w:rFonts w:ascii="Times New Roman" w:hAnsi="Times New Roman"/>
                <w:sz w:val="24"/>
                <w:szCs w:val="24"/>
                <w:vertAlign w:val="superscript"/>
              </w:rPr>
              <w:t xml:space="preserve">5  </w:t>
            </w:r>
            <w:r w:rsidRPr="00193A07">
              <w:rPr>
                <w:rFonts w:ascii="Times New Roman" w:hAnsi="Times New Roman"/>
                <w:sz w:val="24"/>
                <w:szCs w:val="24"/>
              </w:rPr>
              <w:t>Šo noteikumu 61.</w:t>
            </w:r>
            <w:r w:rsidRPr="00193A07">
              <w:rPr>
                <w:rFonts w:ascii="Times New Roman" w:hAnsi="Times New Roman"/>
                <w:sz w:val="24"/>
                <w:szCs w:val="24"/>
                <w:vertAlign w:val="superscript"/>
              </w:rPr>
              <w:t>4</w:t>
            </w:r>
            <w:r w:rsidRPr="00193A07">
              <w:rPr>
                <w:rFonts w:ascii="Times New Roman" w:hAnsi="Times New Roman"/>
                <w:sz w:val="24"/>
                <w:szCs w:val="24"/>
              </w:rPr>
              <w:t xml:space="preserve"> punktā minēto ierobežojumu saskaņošanu pirms otrās publicēšanas pabeidz:</w:t>
            </w:r>
            <w:r w:rsidRPr="00193A07">
              <w:rPr>
                <w:rStyle w:val="CommentReference"/>
                <w:rFonts w:ascii="Times New Roman" w:hAnsi="Times New Roman" w:eastAsia="Calibri"/>
                <w:sz w:val="24"/>
                <w:szCs w:val="24"/>
              </w:rPr>
              <w:t>;</w:t>
            </w:r>
          </w:p>
          <w:p w:rsidRPr="00193A07" w:rsidR="000E558F" w:rsidP="000E558F" w:rsidRDefault="000E558F" w14:paraId="012D40E1" w14:textId="77777777">
            <w:pPr>
              <w:pStyle w:val="ListParagraph"/>
              <w:spacing w:before="100" w:beforeAutospacing="1" w:after="100" w:afterAutospacing="1" w:line="293" w:lineRule="atLeast"/>
              <w:ind w:left="0"/>
              <w:jc w:val="both"/>
              <w:rPr>
                <w:rStyle w:val="CommentReference"/>
                <w:rFonts w:ascii="Times New Roman" w:hAnsi="Times New Roman" w:eastAsia="Calibri"/>
                <w:sz w:val="24"/>
                <w:szCs w:val="24"/>
              </w:rPr>
            </w:pPr>
          </w:p>
          <w:p w:rsidRPr="00193A07" w:rsidR="000E558F" w:rsidP="000E558F" w:rsidRDefault="000E558F" w14:paraId="401EACB7" w14:textId="674D13FE">
            <w:pPr>
              <w:pStyle w:val="ListParagraph"/>
              <w:spacing w:before="100" w:beforeAutospacing="1" w:after="100" w:afterAutospacing="1" w:line="293" w:lineRule="atLeast"/>
              <w:ind w:left="0"/>
              <w:jc w:val="both"/>
              <w:rPr>
                <w:rFonts w:ascii="Times New Roman" w:hAnsi="Times New Roman"/>
                <w:sz w:val="24"/>
                <w:szCs w:val="24"/>
              </w:rPr>
            </w:pPr>
            <w:r w:rsidRPr="00193A07">
              <w:rPr>
                <w:rFonts w:ascii="Times New Roman" w:hAnsi="Times New Roman"/>
                <w:sz w:val="24"/>
                <w:szCs w:val="24"/>
              </w:rPr>
              <w:t>61.</w:t>
            </w:r>
            <w:r w:rsidRPr="00193A07">
              <w:rPr>
                <w:rFonts w:ascii="Times New Roman" w:hAnsi="Times New Roman"/>
                <w:sz w:val="24"/>
                <w:szCs w:val="24"/>
                <w:vertAlign w:val="superscript"/>
              </w:rPr>
              <w:t>6</w:t>
            </w:r>
            <w:r w:rsidRPr="00193A07">
              <w:rPr>
                <w:rFonts w:ascii="Times New Roman" w:hAnsi="Times New Roman"/>
                <w:sz w:val="24"/>
                <w:szCs w:val="24"/>
              </w:rPr>
              <w:t> Vajadzības gadījumā šo noteikumu 61.</w:t>
            </w:r>
            <w:r w:rsidRPr="00193A07">
              <w:rPr>
                <w:rFonts w:ascii="Times New Roman" w:hAnsi="Times New Roman"/>
                <w:sz w:val="24"/>
                <w:szCs w:val="24"/>
                <w:vertAlign w:val="superscript"/>
              </w:rPr>
              <w:t>4</w:t>
            </w:r>
            <w:r w:rsidRPr="00193A07">
              <w:rPr>
                <w:rFonts w:ascii="Times New Roman" w:hAnsi="Times New Roman"/>
                <w:sz w:val="24"/>
                <w:szCs w:val="24"/>
              </w:rPr>
              <w:t xml:space="preserve"> punktā minēto ierobežojumu saskaņošanai, infrastruktūras pārvaldītāji uzaicina pieteikumu iesniedzējus, kuri darbojas attiecīgajās infrastruktūras iecirknī, un galvenos attiecīgos apkalpes vietu operatorus iesaistīties minētajā saskaņošanā.”</w:t>
            </w:r>
          </w:p>
          <w:p w:rsidRPr="00193A07" w:rsidR="000E558F" w:rsidP="000E558F" w:rsidRDefault="000E558F" w14:paraId="250CF144" w14:textId="36EAC7D3">
            <w:pPr>
              <w:jc w:val="both"/>
              <w:rPr>
                <w:b/>
                <w:highlight w:val="green"/>
              </w:rPr>
            </w:pPr>
          </w:p>
        </w:tc>
      </w:tr>
      <w:tr w:rsidRPr="00F435C8" w:rsidR="000E558F" w:rsidTr="00A8237E" w14:paraId="07660E09" w14:textId="77777777">
        <w:tc>
          <w:tcPr>
            <w:tcW w:w="1135" w:type="dxa"/>
            <w:tcBorders>
              <w:left w:val="single" w:color="000000" w:sz="6" w:space="0"/>
              <w:bottom w:val="single" w:color="auto" w:sz="4" w:space="0"/>
              <w:right w:val="single" w:color="000000" w:sz="6" w:space="0"/>
            </w:tcBorders>
            <w:shd w:val="clear" w:color="auto" w:fill="auto"/>
          </w:tcPr>
          <w:p w:rsidR="000E558F" w:rsidP="000E558F" w:rsidRDefault="000E558F" w14:paraId="7B9B8093" w14:textId="4A37E838">
            <w:pPr>
              <w:pStyle w:val="ListParagraph"/>
              <w:numPr>
                <w:ilvl w:val="0"/>
                <w:numId w:val="9"/>
              </w:numPr>
              <w:jc w:val="both"/>
            </w:pPr>
          </w:p>
          <w:p w:rsidRPr="00800BE4" w:rsidR="000E558F" w:rsidP="000E558F" w:rsidRDefault="000E558F" w14:paraId="35377D9E" w14:textId="77777777">
            <w:pPr>
              <w:rPr>
                <w:lang w:eastAsia="en-US"/>
              </w:rPr>
            </w:pPr>
          </w:p>
          <w:p w:rsidRPr="00800BE4" w:rsidR="000E558F" w:rsidP="000E558F" w:rsidRDefault="000E558F" w14:paraId="6342883B" w14:textId="77777777">
            <w:pPr>
              <w:rPr>
                <w:lang w:eastAsia="en-US"/>
              </w:rPr>
            </w:pPr>
          </w:p>
          <w:p w:rsidRPr="00800BE4" w:rsidR="000E558F" w:rsidP="000E558F" w:rsidRDefault="000E558F" w14:paraId="331F3EDB" w14:textId="77777777">
            <w:pPr>
              <w:rPr>
                <w:lang w:eastAsia="en-US"/>
              </w:rPr>
            </w:pPr>
          </w:p>
          <w:p w:rsidRPr="00800BE4" w:rsidR="000E558F" w:rsidP="000E558F" w:rsidRDefault="000E558F" w14:paraId="38ADA45D" w14:textId="77777777">
            <w:pPr>
              <w:rPr>
                <w:lang w:eastAsia="en-US"/>
              </w:rPr>
            </w:pPr>
          </w:p>
          <w:p w:rsidR="000E558F" w:rsidP="000E558F" w:rsidRDefault="000E558F" w14:paraId="5DD49B89" w14:textId="7887651D">
            <w:pPr>
              <w:rPr>
                <w:lang w:eastAsia="en-US"/>
              </w:rPr>
            </w:pPr>
          </w:p>
          <w:p w:rsidRPr="00800BE4" w:rsidR="000E558F" w:rsidP="000E558F" w:rsidRDefault="000E558F" w14:paraId="7D3F07DC" w14:textId="77777777">
            <w:pPr>
              <w:rPr>
                <w:lang w:eastAsia="en-US"/>
              </w:rPr>
            </w:pPr>
          </w:p>
        </w:tc>
        <w:tc>
          <w:tcPr>
            <w:tcW w:w="2835" w:type="dxa"/>
            <w:tcBorders>
              <w:left w:val="single" w:color="000000" w:sz="6" w:space="0"/>
              <w:bottom w:val="single" w:color="auto" w:sz="4" w:space="0"/>
              <w:right w:val="single" w:color="000000" w:sz="6" w:space="0"/>
            </w:tcBorders>
            <w:shd w:val="clear" w:color="auto" w:fill="auto"/>
          </w:tcPr>
          <w:p w:rsidRPr="00193A07" w:rsidR="000E558F" w:rsidP="000E558F" w:rsidRDefault="000E558F" w14:paraId="0370A323" w14:textId="1CEC7242">
            <w:pPr>
              <w:pStyle w:val="ListParagraph"/>
              <w:spacing w:before="100" w:beforeAutospacing="1" w:after="100" w:afterAutospacing="1" w:line="293" w:lineRule="atLeast"/>
              <w:ind w:left="0"/>
              <w:jc w:val="both"/>
              <w:rPr>
                <w:rFonts w:ascii="Times New Roman" w:hAnsi="Times New Roman"/>
                <w:sz w:val="24"/>
                <w:szCs w:val="24"/>
              </w:rPr>
            </w:pPr>
            <w:r>
              <w:rPr>
                <w:rFonts w:ascii="Times New Roman" w:hAnsi="Times New Roman"/>
                <w:sz w:val="24"/>
                <w:szCs w:val="24"/>
              </w:rPr>
              <w:t>“</w:t>
            </w:r>
            <w:r w:rsidRPr="00193A07">
              <w:rPr>
                <w:rFonts w:ascii="Times New Roman" w:hAnsi="Times New Roman"/>
                <w:sz w:val="24"/>
                <w:szCs w:val="24"/>
              </w:rPr>
              <w:t>61.</w:t>
            </w:r>
            <w:r w:rsidRPr="00193A07">
              <w:rPr>
                <w:rFonts w:ascii="Times New Roman" w:hAnsi="Times New Roman"/>
                <w:sz w:val="24"/>
                <w:szCs w:val="24"/>
                <w:vertAlign w:val="superscript"/>
              </w:rPr>
              <w:t>14  </w:t>
            </w:r>
            <w:r w:rsidRPr="00193A07">
              <w:rPr>
                <w:rFonts w:ascii="Times New Roman" w:hAnsi="Times New Roman"/>
                <w:sz w:val="24"/>
                <w:szCs w:val="24"/>
              </w:rPr>
              <w:t xml:space="preserve">Pirms infrastruktūras pārvaldītājs izvēlas kādu no infrastruktūras jaudas ierobežojumu alternatīvām, tas apspriežas ar ieinteresētajiem pieteikumu iesniedzējiem un ņem vērā dažādu alternatīvu ietekmi uz minētajiem pieteikumu iesniedzējiem un </w:t>
            </w:r>
            <w:r w:rsidRPr="00193A07">
              <w:rPr>
                <w:rFonts w:ascii="Times New Roman" w:hAnsi="Times New Roman"/>
                <w:sz w:val="24"/>
                <w:szCs w:val="24"/>
              </w:rPr>
              <w:lastRenderedPageBreak/>
              <w:t xml:space="preserve">pakalpojumu izmantotājiem.” </w:t>
            </w:r>
          </w:p>
          <w:p w:rsidRPr="00193A07" w:rsidR="000E558F" w:rsidP="000E558F" w:rsidRDefault="000E558F" w14:paraId="132F31E3" w14:textId="77777777">
            <w:pPr>
              <w:pStyle w:val="ListParagraph"/>
              <w:spacing w:before="100" w:beforeAutospacing="1" w:after="100" w:afterAutospacing="1" w:line="293" w:lineRule="atLeast"/>
              <w:ind w:left="0"/>
              <w:jc w:val="both"/>
              <w:rPr>
                <w:rFonts w:ascii="Times New Roman" w:hAnsi="Times New Roman"/>
                <w:sz w:val="24"/>
                <w:szCs w:val="24"/>
              </w:rPr>
            </w:pPr>
          </w:p>
          <w:p w:rsidRPr="00193A07" w:rsidR="000E558F" w:rsidP="000E558F" w:rsidRDefault="000E558F" w14:paraId="14997F79" w14:textId="77777777">
            <w:pPr>
              <w:pStyle w:val="ListParagraph"/>
              <w:spacing w:before="100" w:beforeAutospacing="1" w:after="100" w:afterAutospacing="1" w:line="293" w:lineRule="atLeast"/>
              <w:ind w:left="0"/>
              <w:jc w:val="both"/>
              <w:rPr>
                <w:rFonts w:ascii="Times New Roman" w:hAnsi="Times New Roman"/>
                <w:sz w:val="24"/>
                <w:szCs w:val="24"/>
              </w:rPr>
            </w:pPr>
          </w:p>
          <w:p w:rsidRPr="00324DBD" w:rsidR="000E558F" w:rsidP="000E558F" w:rsidRDefault="000E558F" w14:paraId="17A06FB5" w14:textId="77777777">
            <w:pPr>
              <w:pStyle w:val="ListParagraph"/>
              <w:spacing w:before="100" w:beforeAutospacing="1" w:after="100" w:afterAutospacing="1" w:line="293" w:lineRule="atLeast"/>
              <w:ind w:left="0"/>
              <w:jc w:val="both"/>
              <w:rPr>
                <w:rFonts w:ascii="Times New Roman" w:hAnsi="Times New Roman"/>
                <w:sz w:val="24"/>
                <w:szCs w:val="24"/>
              </w:rPr>
            </w:pPr>
          </w:p>
        </w:tc>
        <w:tc>
          <w:tcPr>
            <w:tcW w:w="4111" w:type="dxa"/>
            <w:tcBorders>
              <w:left w:val="single" w:color="000000" w:sz="6" w:space="0"/>
              <w:bottom w:val="single" w:color="auto" w:sz="4" w:space="0"/>
              <w:right w:val="single" w:color="000000" w:sz="6" w:space="0"/>
            </w:tcBorders>
            <w:shd w:val="clear" w:color="auto" w:fill="auto"/>
          </w:tcPr>
          <w:p w:rsidRPr="00193A07" w:rsidR="000E558F" w:rsidP="000E558F" w:rsidRDefault="000E558F" w14:paraId="46076534" w14:textId="165B83F4">
            <w:pPr>
              <w:pStyle w:val="CommentText"/>
              <w:jc w:val="both"/>
              <w:rPr>
                <w:sz w:val="24"/>
                <w:szCs w:val="24"/>
                <w:shd w:val="clear" w:color="auto" w:fill="FFFFFF"/>
              </w:rPr>
            </w:pPr>
            <w:r w:rsidRPr="00193A07">
              <w:rPr>
                <w:sz w:val="24"/>
                <w:szCs w:val="24"/>
              </w:rPr>
              <w:lastRenderedPageBreak/>
              <w:t>Nepieciešams precizēt, norādot konkrētas projekta 28. punktā izteiktā 61</w:t>
            </w:r>
            <w:r w:rsidRPr="00193A07">
              <w:rPr>
                <w:sz w:val="24"/>
                <w:szCs w:val="24"/>
                <w:vertAlign w:val="superscript"/>
              </w:rPr>
              <w:t>12</w:t>
            </w:r>
            <w:r w:rsidRPr="00193A07">
              <w:rPr>
                <w:sz w:val="24"/>
                <w:szCs w:val="24"/>
              </w:rPr>
              <w:t xml:space="preserve">. punktā minētās infrastruktūras jaudas ierobežojumu alternatīvas, lai </w:t>
            </w:r>
            <w:r>
              <w:rPr>
                <w:sz w:val="24"/>
                <w:szCs w:val="24"/>
              </w:rPr>
              <w:t>izvairītos no iespējamām kolīzijām un neskaidrībām to izpildē.</w:t>
            </w:r>
          </w:p>
          <w:p w:rsidRPr="00193A07" w:rsidR="000E558F" w:rsidP="000E558F" w:rsidRDefault="000E558F" w14:paraId="00EA203D" w14:textId="77777777">
            <w:pPr>
              <w:pStyle w:val="CommentText"/>
              <w:jc w:val="both"/>
              <w:rPr>
                <w:sz w:val="24"/>
                <w:szCs w:val="24"/>
              </w:rPr>
            </w:pPr>
          </w:p>
        </w:tc>
        <w:tc>
          <w:tcPr>
            <w:tcW w:w="2551" w:type="dxa"/>
            <w:tcBorders>
              <w:left w:val="single" w:color="000000" w:sz="6" w:space="0"/>
              <w:bottom w:val="single" w:color="auto" w:sz="4" w:space="0"/>
              <w:right w:val="single" w:color="000000" w:sz="6" w:space="0"/>
            </w:tcBorders>
            <w:shd w:val="clear" w:color="auto" w:fill="auto"/>
          </w:tcPr>
          <w:p w:rsidR="000E558F" w:rsidP="000E558F" w:rsidRDefault="000E558F" w14:paraId="30E38174" w14:textId="3F0CE8DC">
            <w:pPr>
              <w:shd w:val="clear" w:color="auto" w:fill="FFFFFF"/>
              <w:rPr>
                <w:b/>
                <w:highlight w:val="green"/>
              </w:rPr>
            </w:pPr>
            <w:r w:rsidRPr="00C41C81">
              <w:rPr>
                <w:b/>
              </w:rPr>
              <w:t>Precizēts projekts.</w:t>
            </w:r>
          </w:p>
        </w:tc>
        <w:tc>
          <w:tcPr>
            <w:tcW w:w="3827" w:type="dxa"/>
            <w:tcBorders>
              <w:top w:val="single" w:color="auto" w:sz="4" w:space="0"/>
              <w:left w:val="single" w:color="auto" w:sz="4" w:space="0"/>
              <w:bottom w:val="single" w:color="auto" w:sz="4" w:space="0"/>
            </w:tcBorders>
            <w:shd w:val="clear" w:color="auto" w:fill="auto"/>
          </w:tcPr>
          <w:p w:rsidRPr="00BF40F1" w:rsidR="000E558F" w:rsidP="000E558F" w:rsidRDefault="000E558F" w14:paraId="3CB0E453" w14:textId="0CD1A915">
            <w:pPr>
              <w:pStyle w:val="ListParagraph"/>
              <w:spacing w:before="100" w:beforeAutospacing="1" w:after="100" w:afterAutospacing="1" w:line="293" w:lineRule="atLeast"/>
              <w:ind w:left="0"/>
              <w:jc w:val="both"/>
              <w:rPr>
                <w:rFonts w:ascii="Times New Roman" w:hAnsi="Times New Roman"/>
                <w:b/>
                <w:sz w:val="24"/>
                <w:szCs w:val="24"/>
              </w:rPr>
            </w:pPr>
            <w:r w:rsidRPr="00BF40F1">
              <w:rPr>
                <w:rFonts w:ascii="Times New Roman" w:hAnsi="Times New Roman"/>
                <w:b/>
                <w:sz w:val="24"/>
                <w:szCs w:val="24"/>
              </w:rPr>
              <w:t>Precizēts projekts.</w:t>
            </w:r>
          </w:p>
          <w:p w:rsidRPr="00193A07" w:rsidR="000E558F" w:rsidP="000E558F" w:rsidRDefault="000E558F" w14:paraId="68F7173C" w14:textId="31B660EB">
            <w:pPr>
              <w:pStyle w:val="ListParagraph"/>
              <w:spacing w:before="100" w:beforeAutospacing="1" w:after="100" w:afterAutospacing="1" w:line="293" w:lineRule="atLeast"/>
              <w:ind w:left="0"/>
              <w:jc w:val="both"/>
              <w:rPr>
                <w:rFonts w:ascii="Times New Roman" w:hAnsi="Times New Roman"/>
                <w:sz w:val="24"/>
                <w:szCs w:val="24"/>
              </w:rPr>
            </w:pPr>
            <w:r w:rsidRPr="00193A07">
              <w:rPr>
                <w:rFonts w:ascii="Times New Roman" w:hAnsi="Times New Roman"/>
                <w:sz w:val="24"/>
                <w:szCs w:val="24"/>
              </w:rPr>
              <w:t>“61.</w:t>
            </w:r>
            <w:r w:rsidRPr="00193A07">
              <w:rPr>
                <w:rFonts w:ascii="Times New Roman" w:hAnsi="Times New Roman"/>
                <w:sz w:val="24"/>
                <w:szCs w:val="24"/>
                <w:vertAlign w:val="superscript"/>
              </w:rPr>
              <w:t>14  </w:t>
            </w:r>
            <w:r w:rsidRPr="00193A07">
              <w:rPr>
                <w:rFonts w:ascii="Times New Roman" w:hAnsi="Times New Roman"/>
                <w:sz w:val="24"/>
                <w:szCs w:val="24"/>
              </w:rPr>
              <w:t>Pirms infrastruktūras pārvaldītājs izvēlas kādu no šo noteikumu 61.</w:t>
            </w:r>
            <w:r w:rsidRPr="00193A07">
              <w:rPr>
                <w:rFonts w:ascii="Times New Roman" w:hAnsi="Times New Roman"/>
                <w:sz w:val="24"/>
                <w:szCs w:val="24"/>
                <w:vertAlign w:val="superscript"/>
              </w:rPr>
              <w:t>12</w:t>
            </w:r>
            <w:r w:rsidRPr="00193A07">
              <w:rPr>
                <w:rFonts w:ascii="Times New Roman" w:hAnsi="Times New Roman"/>
                <w:sz w:val="24"/>
                <w:szCs w:val="24"/>
              </w:rPr>
              <w:t xml:space="preserve"> punktā minēto infrastruktūras jaudas ierobežojumu alternatīvām, tas apspriežas ar ieinteresētajiem pieteikumu iesniedzējiem un ņem vērā dažādu alternatīvu ietekmi uz minētajiem pieteikumu iesniedzējiem un pakalpojumu izmantotājiem.”</w:t>
            </w:r>
          </w:p>
          <w:p w:rsidRPr="00B30EDF" w:rsidR="000E558F" w:rsidP="000E558F" w:rsidRDefault="000E558F" w14:paraId="22EA08F3" w14:textId="77777777">
            <w:pPr>
              <w:pStyle w:val="ListParagraph"/>
              <w:spacing w:before="100" w:beforeAutospacing="1" w:after="100" w:afterAutospacing="1" w:line="293" w:lineRule="atLeast"/>
              <w:ind w:left="0"/>
              <w:jc w:val="both"/>
              <w:rPr>
                <w:rFonts w:ascii="Times New Roman" w:hAnsi="Times New Roman"/>
                <w:b/>
                <w:sz w:val="24"/>
                <w:szCs w:val="24"/>
              </w:rPr>
            </w:pPr>
          </w:p>
        </w:tc>
      </w:tr>
    </w:tbl>
    <w:p w:rsidR="00971125" w:rsidP="00816F82" w:rsidRDefault="00971125" w14:paraId="6B95AE63" w14:textId="5584AFC4">
      <w:pPr>
        <w:ind w:left="3600" w:hanging="3600"/>
        <w:jc w:val="both"/>
      </w:pPr>
    </w:p>
    <w:p w:rsidR="00971125" w:rsidP="00816F82" w:rsidRDefault="00971125" w14:paraId="5CD0DA57" w14:textId="77777777">
      <w:pPr>
        <w:ind w:left="3600" w:hanging="3600"/>
        <w:jc w:val="both"/>
      </w:pPr>
    </w:p>
    <w:p w:rsidR="00971125" w:rsidP="00816F82" w:rsidRDefault="00971125" w14:paraId="03079DE0" w14:textId="77777777">
      <w:pPr>
        <w:ind w:left="3600" w:hanging="3600"/>
        <w:jc w:val="both"/>
      </w:pPr>
    </w:p>
    <w:p w:rsidR="008F33E7" w:rsidP="00816F82" w:rsidRDefault="008F33E7" w14:paraId="448B7409" w14:textId="7CD50B9D">
      <w:pPr>
        <w:ind w:left="3600" w:hanging="3600"/>
        <w:jc w:val="both"/>
      </w:pPr>
      <w:r w:rsidRPr="00BB6B19">
        <w:t xml:space="preserve">Atbildīgā amatpersona                                                         </w:t>
      </w:r>
      <w:r w:rsidR="00BD2218">
        <w:t>Santa Balaša</w:t>
      </w:r>
    </w:p>
    <w:p w:rsidRPr="00BB6B19" w:rsidR="00BD2218" w:rsidP="00816F82" w:rsidRDefault="00BD2218" w14:paraId="142B7216" w14:textId="23EC2824">
      <w:pPr>
        <w:ind w:left="3600" w:hanging="3600"/>
        <w:jc w:val="both"/>
      </w:pPr>
      <w:r>
        <w:tab/>
        <w:t>Satiksmes ministrijas Dzelzceļa departamenta juriskonsulte</w:t>
      </w:r>
    </w:p>
    <w:sectPr w:rsidRPr="00BB6B19" w:rsidR="00BD2218" w:rsidSect="00485585">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F83BA" w14:textId="77777777" w:rsidR="0017322D" w:rsidRDefault="0017322D">
      <w:r>
        <w:separator/>
      </w:r>
    </w:p>
  </w:endnote>
  <w:endnote w:type="continuationSeparator" w:id="0">
    <w:p w14:paraId="733FD2C0" w14:textId="77777777" w:rsidR="0017322D" w:rsidRDefault="0017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3B885" w14:textId="6E8B98D5" w:rsidR="003255A7" w:rsidRDefault="003255A7" w:rsidP="007E69A4">
    <w:pPr>
      <w:pStyle w:val="Header"/>
      <w:tabs>
        <w:tab w:val="clear" w:pos="4153"/>
        <w:tab w:val="clear" w:pos="8306"/>
        <w:tab w:val="left" w:pos="3047"/>
      </w:tabs>
    </w:pPr>
    <w:r>
      <w:tab/>
    </w:r>
    <w:r>
      <w:tab/>
    </w:r>
  </w:p>
  <w:p w14:paraId="595AAA92" w14:textId="77777777" w:rsidR="003255A7" w:rsidRDefault="003255A7" w:rsidP="00A125ED">
    <w:pPr>
      <w:jc w:val="center"/>
    </w:pPr>
  </w:p>
  <w:p w14:paraId="064E7E3B" w14:textId="42A4495A" w:rsidR="003255A7" w:rsidRPr="009201E0" w:rsidRDefault="003255A7" w:rsidP="00C51730">
    <w:pPr>
      <w:pStyle w:val="Footer"/>
      <w:rPr>
        <w:sz w:val="20"/>
        <w:szCs w:val="16"/>
      </w:rPr>
    </w:pPr>
    <w:r w:rsidRPr="00096D51">
      <w:rPr>
        <w:sz w:val="20"/>
        <w:szCs w:val="16"/>
      </w:rPr>
      <w:t>SMIzz_</w:t>
    </w:r>
    <w:r w:rsidR="00900A67" w:rsidRPr="00096D51">
      <w:rPr>
        <w:sz w:val="20"/>
        <w:szCs w:val="16"/>
      </w:rPr>
      <w:t>2</w:t>
    </w:r>
    <w:r w:rsidR="00776A84">
      <w:rPr>
        <w:sz w:val="20"/>
        <w:szCs w:val="16"/>
      </w:rPr>
      <w:t>402</w:t>
    </w:r>
    <w:r w:rsidR="00800BE4" w:rsidRPr="00096D51">
      <w:rPr>
        <w:sz w:val="20"/>
        <w:szCs w:val="16"/>
      </w:rPr>
      <w:t>21</w:t>
    </w:r>
    <w:r w:rsidRPr="00096D51">
      <w:rPr>
        <w:sz w:val="20"/>
        <w:szCs w:val="16"/>
      </w:rPr>
      <w:t>_VSS-1019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5EE07" w14:textId="6D00B97B" w:rsidR="003255A7" w:rsidRPr="00FE6410" w:rsidRDefault="00900A67" w:rsidP="009201E0">
    <w:pPr>
      <w:pStyle w:val="Footer"/>
      <w:rPr>
        <w:sz w:val="20"/>
        <w:szCs w:val="16"/>
      </w:rPr>
    </w:pPr>
    <w:r w:rsidRPr="00096D51">
      <w:rPr>
        <w:sz w:val="20"/>
        <w:szCs w:val="16"/>
      </w:rPr>
      <w:t>SMIzz_2</w:t>
    </w:r>
    <w:r w:rsidR="00776A84">
      <w:rPr>
        <w:sz w:val="20"/>
        <w:szCs w:val="16"/>
      </w:rPr>
      <w:t>402</w:t>
    </w:r>
    <w:r w:rsidR="00B83474" w:rsidRPr="00096D51">
      <w:rPr>
        <w:sz w:val="20"/>
        <w:szCs w:val="16"/>
      </w:rPr>
      <w:t>21</w:t>
    </w:r>
    <w:r w:rsidR="003255A7" w:rsidRPr="00096D51">
      <w:rPr>
        <w:sz w:val="20"/>
        <w:szCs w:val="16"/>
      </w:rPr>
      <w:t>_VSS-1019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648FB" w14:textId="77777777" w:rsidR="0017322D" w:rsidRDefault="0017322D">
      <w:r>
        <w:separator/>
      </w:r>
    </w:p>
  </w:footnote>
  <w:footnote w:type="continuationSeparator" w:id="0">
    <w:p w14:paraId="464D5FD7" w14:textId="77777777" w:rsidR="0017322D" w:rsidRDefault="00173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55A7" w:rsidP="00364BB6" w:rsidRDefault="003255A7" w14:paraId="26740E7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55A7" w:rsidRDefault="003255A7" w14:paraId="4D5AE73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55A7" w:rsidP="00364BB6" w:rsidRDefault="003255A7" w14:paraId="395FCBC1" w14:textId="349F34F5">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7257">
      <w:rPr>
        <w:rStyle w:val="PageNumber"/>
        <w:noProof/>
      </w:rPr>
      <w:t>2</w:t>
    </w:r>
    <w:r>
      <w:rPr>
        <w:rStyle w:val="PageNumber"/>
      </w:rPr>
      <w:fldChar w:fldCharType="end"/>
    </w:r>
  </w:p>
  <w:p w:rsidR="003255A7" w:rsidRDefault="003255A7" w14:paraId="2B187C9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2"/>
      <w:numFmt w:val="decimal"/>
      <w:lvlText w:val="%1."/>
      <w:lvlJc w:val="left"/>
      <w:pPr>
        <w:tabs>
          <w:tab w:val="num" w:pos="1777"/>
        </w:tabs>
        <w:ind w:left="1777" w:hanging="360"/>
      </w:pPr>
    </w:lvl>
    <w:lvl w:ilvl="1">
      <w:start w:val="1"/>
      <w:numFmt w:val="decimal"/>
      <w:lvlText w:val="%2."/>
      <w:lvlJc w:val="left"/>
      <w:pPr>
        <w:tabs>
          <w:tab w:val="num" w:pos="2137"/>
        </w:tabs>
        <w:ind w:left="2137" w:hanging="360"/>
      </w:pPr>
    </w:lvl>
    <w:lvl w:ilvl="2">
      <w:start w:val="1"/>
      <w:numFmt w:val="decimal"/>
      <w:lvlText w:val="%3."/>
      <w:lvlJc w:val="left"/>
      <w:pPr>
        <w:tabs>
          <w:tab w:val="num" w:pos="2497"/>
        </w:tabs>
        <w:ind w:left="2497" w:hanging="360"/>
      </w:pPr>
    </w:lvl>
    <w:lvl w:ilvl="3">
      <w:start w:val="1"/>
      <w:numFmt w:val="decimal"/>
      <w:lvlText w:val="%4."/>
      <w:lvlJc w:val="left"/>
      <w:pPr>
        <w:tabs>
          <w:tab w:val="num" w:pos="2857"/>
        </w:tabs>
        <w:ind w:left="2857" w:hanging="360"/>
      </w:pPr>
    </w:lvl>
    <w:lvl w:ilvl="4">
      <w:start w:val="1"/>
      <w:numFmt w:val="decimal"/>
      <w:lvlText w:val="%5."/>
      <w:lvlJc w:val="left"/>
      <w:pPr>
        <w:tabs>
          <w:tab w:val="num" w:pos="3217"/>
        </w:tabs>
        <w:ind w:left="3217" w:hanging="360"/>
      </w:pPr>
    </w:lvl>
    <w:lvl w:ilvl="5">
      <w:start w:val="1"/>
      <w:numFmt w:val="decimal"/>
      <w:lvlText w:val="%6."/>
      <w:lvlJc w:val="left"/>
      <w:pPr>
        <w:tabs>
          <w:tab w:val="num" w:pos="3577"/>
        </w:tabs>
        <w:ind w:left="3577" w:hanging="360"/>
      </w:pPr>
    </w:lvl>
    <w:lvl w:ilvl="6">
      <w:start w:val="1"/>
      <w:numFmt w:val="decimal"/>
      <w:lvlText w:val="%7."/>
      <w:lvlJc w:val="left"/>
      <w:pPr>
        <w:tabs>
          <w:tab w:val="num" w:pos="3937"/>
        </w:tabs>
        <w:ind w:left="3937" w:hanging="360"/>
      </w:pPr>
    </w:lvl>
    <w:lvl w:ilvl="7">
      <w:start w:val="1"/>
      <w:numFmt w:val="decimal"/>
      <w:lvlText w:val="%8."/>
      <w:lvlJc w:val="left"/>
      <w:pPr>
        <w:tabs>
          <w:tab w:val="num" w:pos="4297"/>
        </w:tabs>
        <w:ind w:left="4297" w:hanging="360"/>
      </w:pPr>
    </w:lvl>
    <w:lvl w:ilvl="8">
      <w:start w:val="1"/>
      <w:numFmt w:val="decimal"/>
      <w:lvlText w:val="%9."/>
      <w:lvlJc w:val="left"/>
      <w:pPr>
        <w:tabs>
          <w:tab w:val="num" w:pos="4657"/>
        </w:tabs>
        <w:ind w:left="4657" w:hanging="360"/>
      </w:pPr>
    </w:lvl>
  </w:abstractNum>
  <w:abstractNum w:abstractNumId="1" w15:restartNumberingAfterBreak="0">
    <w:nsid w:val="143D23B0"/>
    <w:multiLevelType w:val="multilevel"/>
    <w:tmpl w:val="E5C8DA8A"/>
    <w:lvl w:ilvl="0">
      <w:start w:val="1"/>
      <w:numFmt w:val="decimal"/>
      <w:lvlText w:val="%1."/>
      <w:lvlJc w:val="left"/>
      <w:pPr>
        <w:ind w:left="786" w:hanging="360"/>
      </w:pPr>
      <w:rPr>
        <w:sz w:val="20"/>
        <w:szCs w:val="20"/>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234C549C"/>
    <w:multiLevelType w:val="hybridMultilevel"/>
    <w:tmpl w:val="0B8E8F24"/>
    <w:lvl w:ilvl="0" w:tplc="E9F26B8A">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25322338"/>
    <w:multiLevelType w:val="hybridMultilevel"/>
    <w:tmpl w:val="4F549AC0"/>
    <w:lvl w:ilvl="0" w:tplc="86F62E02">
      <w:start w:val="1"/>
      <w:numFmt w:val="decimal"/>
      <w:lvlText w:val="%1."/>
      <w:lvlJc w:val="left"/>
      <w:pPr>
        <w:ind w:left="679" w:hanging="360"/>
      </w:pPr>
      <w:rPr>
        <w:rFonts w:hint="default"/>
      </w:rPr>
    </w:lvl>
    <w:lvl w:ilvl="1" w:tplc="04260019" w:tentative="1">
      <w:start w:val="1"/>
      <w:numFmt w:val="lowerLetter"/>
      <w:lvlText w:val="%2."/>
      <w:lvlJc w:val="left"/>
      <w:pPr>
        <w:ind w:left="1399" w:hanging="360"/>
      </w:pPr>
    </w:lvl>
    <w:lvl w:ilvl="2" w:tplc="0426001B" w:tentative="1">
      <w:start w:val="1"/>
      <w:numFmt w:val="lowerRoman"/>
      <w:lvlText w:val="%3."/>
      <w:lvlJc w:val="right"/>
      <w:pPr>
        <w:ind w:left="2119" w:hanging="180"/>
      </w:pPr>
    </w:lvl>
    <w:lvl w:ilvl="3" w:tplc="0426000F" w:tentative="1">
      <w:start w:val="1"/>
      <w:numFmt w:val="decimal"/>
      <w:lvlText w:val="%4."/>
      <w:lvlJc w:val="left"/>
      <w:pPr>
        <w:ind w:left="2839" w:hanging="360"/>
      </w:pPr>
    </w:lvl>
    <w:lvl w:ilvl="4" w:tplc="04260019" w:tentative="1">
      <w:start w:val="1"/>
      <w:numFmt w:val="lowerLetter"/>
      <w:lvlText w:val="%5."/>
      <w:lvlJc w:val="left"/>
      <w:pPr>
        <w:ind w:left="3559" w:hanging="360"/>
      </w:pPr>
    </w:lvl>
    <w:lvl w:ilvl="5" w:tplc="0426001B" w:tentative="1">
      <w:start w:val="1"/>
      <w:numFmt w:val="lowerRoman"/>
      <w:lvlText w:val="%6."/>
      <w:lvlJc w:val="right"/>
      <w:pPr>
        <w:ind w:left="4279" w:hanging="180"/>
      </w:pPr>
    </w:lvl>
    <w:lvl w:ilvl="6" w:tplc="0426000F" w:tentative="1">
      <w:start w:val="1"/>
      <w:numFmt w:val="decimal"/>
      <w:lvlText w:val="%7."/>
      <w:lvlJc w:val="left"/>
      <w:pPr>
        <w:ind w:left="4999" w:hanging="360"/>
      </w:pPr>
    </w:lvl>
    <w:lvl w:ilvl="7" w:tplc="04260019" w:tentative="1">
      <w:start w:val="1"/>
      <w:numFmt w:val="lowerLetter"/>
      <w:lvlText w:val="%8."/>
      <w:lvlJc w:val="left"/>
      <w:pPr>
        <w:ind w:left="5719" w:hanging="360"/>
      </w:pPr>
    </w:lvl>
    <w:lvl w:ilvl="8" w:tplc="0426001B" w:tentative="1">
      <w:start w:val="1"/>
      <w:numFmt w:val="lowerRoman"/>
      <w:lvlText w:val="%9."/>
      <w:lvlJc w:val="right"/>
      <w:pPr>
        <w:ind w:left="6439" w:hanging="180"/>
      </w:pPr>
    </w:lvl>
  </w:abstractNum>
  <w:abstractNum w:abstractNumId="4" w15:restartNumberingAfterBreak="0">
    <w:nsid w:val="3A1F056D"/>
    <w:multiLevelType w:val="hybridMultilevel"/>
    <w:tmpl w:val="0B82B44C"/>
    <w:lvl w:ilvl="0" w:tplc="4B54669C">
      <w:start w:val="6"/>
      <w:numFmt w:val="decimal"/>
      <w:lvlText w:val="%1."/>
      <w:lvlJc w:val="left"/>
      <w:pPr>
        <w:ind w:left="786" w:hanging="360"/>
      </w:pPr>
      <w:rPr>
        <w:rFonts w:ascii="Times New Roman" w:hAnsi="Times New Roman" w:cs="Times New Roman" w:hint="default"/>
        <w:b/>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42753BF7"/>
    <w:multiLevelType w:val="hybridMultilevel"/>
    <w:tmpl w:val="F420F86E"/>
    <w:lvl w:ilvl="0" w:tplc="1E82A6CE">
      <w:start w:val="1"/>
      <w:numFmt w:val="decimal"/>
      <w:lvlText w:val="%1."/>
      <w:lvlJc w:val="left"/>
      <w:pPr>
        <w:ind w:left="644"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E644C"/>
    <w:multiLevelType w:val="hybridMultilevel"/>
    <w:tmpl w:val="75F80DD0"/>
    <w:lvl w:ilvl="0" w:tplc="C610078A">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15:restartNumberingAfterBreak="0">
    <w:nsid w:val="6A0218B3"/>
    <w:multiLevelType w:val="hybridMultilevel"/>
    <w:tmpl w:val="BE1273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32641E1"/>
    <w:multiLevelType w:val="hybridMultilevel"/>
    <w:tmpl w:val="3C18EF50"/>
    <w:lvl w:ilvl="0" w:tplc="74D23112">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AA0140E"/>
    <w:multiLevelType w:val="hybridMultilevel"/>
    <w:tmpl w:val="FA24E3D0"/>
    <w:lvl w:ilvl="0" w:tplc="301E4438">
      <w:start w:val="3"/>
      <w:numFmt w:val="decimal"/>
      <w:lvlText w:val="%1."/>
      <w:lvlJc w:val="left"/>
      <w:pPr>
        <w:ind w:left="644" w:hanging="360"/>
      </w:pPr>
      <w:rPr>
        <w:rFonts w:ascii="Times New Roman" w:hAnsi="Times New Roman" w:cs="Times New Roman" w:hint="default"/>
        <w:b/>
        <w:sz w:val="24"/>
        <w:szCs w:val="24"/>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5"/>
  </w:num>
  <w:num w:numId="2">
    <w:abstractNumId w:val="1"/>
  </w:num>
  <w:num w:numId="3">
    <w:abstractNumId w:val="8"/>
  </w:num>
  <w:num w:numId="4">
    <w:abstractNumId w:val="3"/>
  </w:num>
  <w:num w:numId="5">
    <w:abstractNumId w:val="6"/>
  </w:num>
  <w:num w:numId="6">
    <w:abstractNumId w:val="7"/>
  </w:num>
  <w:num w:numId="7">
    <w:abstractNumId w:val="9"/>
  </w:num>
  <w:num w:numId="8">
    <w:abstractNumId w:val="2"/>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trackRevision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18E"/>
    <w:rsid w:val="00000908"/>
    <w:rsid w:val="00000E6D"/>
    <w:rsid w:val="00001A48"/>
    <w:rsid w:val="00001F89"/>
    <w:rsid w:val="000022BF"/>
    <w:rsid w:val="000027BC"/>
    <w:rsid w:val="00002BFF"/>
    <w:rsid w:val="00002D81"/>
    <w:rsid w:val="00003299"/>
    <w:rsid w:val="0000333C"/>
    <w:rsid w:val="00003733"/>
    <w:rsid w:val="00003C53"/>
    <w:rsid w:val="0000456E"/>
    <w:rsid w:val="00004706"/>
    <w:rsid w:val="00004E84"/>
    <w:rsid w:val="00005320"/>
    <w:rsid w:val="000055EA"/>
    <w:rsid w:val="000060CB"/>
    <w:rsid w:val="00006166"/>
    <w:rsid w:val="00006476"/>
    <w:rsid w:val="000068FB"/>
    <w:rsid w:val="00006BF1"/>
    <w:rsid w:val="00006DD9"/>
    <w:rsid w:val="00010056"/>
    <w:rsid w:val="000100E1"/>
    <w:rsid w:val="00010404"/>
    <w:rsid w:val="00010D74"/>
    <w:rsid w:val="0001118D"/>
    <w:rsid w:val="0001131F"/>
    <w:rsid w:val="00011663"/>
    <w:rsid w:val="00011A16"/>
    <w:rsid w:val="00011B2E"/>
    <w:rsid w:val="00011D46"/>
    <w:rsid w:val="00012007"/>
    <w:rsid w:val="0001223C"/>
    <w:rsid w:val="0001249F"/>
    <w:rsid w:val="000125C0"/>
    <w:rsid w:val="0001263B"/>
    <w:rsid w:val="0001270C"/>
    <w:rsid w:val="000128F4"/>
    <w:rsid w:val="00012D70"/>
    <w:rsid w:val="00012FD2"/>
    <w:rsid w:val="00013113"/>
    <w:rsid w:val="00013277"/>
    <w:rsid w:val="000134BF"/>
    <w:rsid w:val="000136AA"/>
    <w:rsid w:val="00013B4C"/>
    <w:rsid w:val="00013BA3"/>
    <w:rsid w:val="00013BF6"/>
    <w:rsid w:val="00013D97"/>
    <w:rsid w:val="00014E37"/>
    <w:rsid w:val="0001554C"/>
    <w:rsid w:val="000156BE"/>
    <w:rsid w:val="00015719"/>
    <w:rsid w:val="00015AA6"/>
    <w:rsid w:val="00015AB9"/>
    <w:rsid w:val="00015B94"/>
    <w:rsid w:val="00015DE5"/>
    <w:rsid w:val="000161BF"/>
    <w:rsid w:val="000172E2"/>
    <w:rsid w:val="00017449"/>
    <w:rsid w:val="00017516"/>
    <w:rsid w:val="00017CC8"/>
    <w:rsid w:val="00017F22"/>
    <w:rsid w:val="00017FB1"/>
    <w:rsid w:val="00020249"/>
    <w:rsid w:val="00020685"/>
    <w:rsid w:val="0002080F"/>
    <w:rsid w:val="00021ADD"/>
    <w:rsid w:val="00022338"/>
    <w:rsid w:val="0002296A"/>
    <w:rsid w:val="00022B0F"/>
    <w:rsid w:val="00022B9A"/>
    <w:rsid w:val="00022CF5"/>
    <w:rsid w:val="00022DBC"/>
    <w:rsid w:val="00023568"/>
    <w:rsid w:val="0002377B"/>
    <w:rsid w:val="0002377E"/>
    <w:rsid w:val="00023FD6"/>
    <w:rsid w:val="0002416A"/>
    <w:rsid w:val="00024748"/>
    <w:rsid w:val="00024991"/>
    <w:rsid w:val="00024CCD"/>
    <w:rsid w:val="00024D20"/>
    <w:rsid w:val="00024FED"/>
    <w:rsid w:val="000253DB"/>
    <w:rsid w:val="00025574"/>
    <w:rsid w:val="00025F3F"/>
    <w:rsid w:val="00025F66"/>
    <w:rsid w:val="00025F80"/>
    <w:rsid w:val="00026486"/>
    <w:rsid w:val="00026E17"/>
    <w:rsid w:val="00027109"/>
    <w:rsid w:val="000275A9"/>
    <w:rsid w:val="000275B5"/>
    <w:rsid w:val="000278E7"/>
    <w:rsid w:val="00027A63"/>
    <w:rsid w:val="00027A8C"/>
    <w:rsid w:val="00027F9D"/>
    <w:rsid w:val="000301E6"/>
    <w:rsid w:val="00030573"/>
    <w:rsid w:val="000306D3"/>
    <w:rsid w:val="0003076F"/>
    <w:rsid w:val="0003078E"/>
    <w:rsid w:val="000307B5"/>
    <w:rsid w:val="00030B39"/>
    <w:rsid w:val="00031476"/>
    <w:rsid w:val="000315EE"/>
    <w:rsid w:val="00031B32"/>
    <w:rsid w:val="00032408"/>
    <w:rsid w:val="00032457"/>
    <w:rsid w:val="00032E85"/>
    <w:rsid w:val="00032F46"/>
    <w:rsid w:val="0003373F"/>
    <w:rsid w:val="0003413A"/>
    <w:rsid w:val="0003416E"/>
    <w:rsid w:val="000349CA"/>
    <w:rsid w:val="00034E8A"/>
    <w:rsid w:val="0003557A"/>
    <w:rsid w:val="00035A0A"/>
    <w:rsid w:val="00035B22"/>
    <w:rsid w:val="00035C06"/>
    <w:rsid w:val="00035C19"/>
    <w:rsid w:val="000366DF"/>
    <w:rsid w:val="000369CB"/>
    <w:rsid w:val="00036A03"/>
    <w:rsid w:val="00036E20"/>
    <w:rsid w:val="00036E36"/>
    <w:rsid w:val="0003739C"/>
    <w:rsid w:val="000376CD"/>
    <w:rsid w:val="000376D9"/>
    <w:rsid w:val="000376E6"/>
    <w:rsid w:val="00037B68"/>
    <w:rsid w:val="00037C7C"/>
    <w:rsid w:val="000401C5"/>
    <w:rsid w:val="00040377"/>
    <w:rsid w:val="00040A5C"/>
    <w:rsid w:val="00040F4A"/>
    <w:rsid w:val="00041BCF"/>
    <w:rsid w:val="00042007"/>
    <w:rsid w:val="0004223B"/>
    <w:rsid w:val="00042E48"/>
    <w:rsid w:val="00042E6F"/>
    <w:rsid w:val="00043005"/>
    <w:rsid w:val="0004345F"/>
    <w:rsid w:val="0004347B"/>
    <w:rsid w:val="00043923"/>
    <w:rsid w:val="000439A7"/>
    <w:rsid w:val="00043D7B"/>
    <w:rsid w:val="00044026"/>
    <w:rsid w:val="000446A5"/>
    <w:rsid w:val="000449C9"/>
    <w:rsid w:val="000451B5"/>
    <w:rsid w:val="00045343"/>
    <w:rsid w:val="0004535D"/>
    <w:rsid w:val="00045ED5"/>
    <w:rsid w:val="00046075"/>
    <w:rsid w:val="00046CAD"/>
    <w:rsid w:val="00046F5C"/>
    <w:rsid w:val="000472CC"/>
    <w:rsid w:val="00047385"/>
    <w:rsid w:val="00047AFB"/>
    <w:rsid w:val="00050043"/>
    <w:rsid w:val="00050167"/>
    <w:rsid w:val="00050554"/>
    <w:rsid w:val="00050CC3"/>
    <w:rsid w:val="00050EF4"/>
    <w:rsid w:val="00051233"/>
    <w:rsid w:val="0005128A"/>
    <w:rsid w:val="0005150E"/>
    <w:rsid w:val="00051C0E"/>
    <w:rsid w:val="0005252B"/>
    <w:rsid w:val="00052832"/>
    <w:rsid w:val="0005290B"/>
    <w:rsid w:val="00052E71"/>
    <w:rsid w:val="000531D9"/>
    <w:rsid w:val="00053706"/>
    <w:rsid w:val="00053711"/>
    <w:rsid w:val="00053E04"/>
    <w:rsid w:val="00054317"/>
    <w:rsid w:val="000543E1"/>
    <w:rsid w:val="00054A8B"/>
    <w:rsid w:val="00054B08"/>
    <w:rsid w:val="00054D32"/>
    <w:rsid w:val="0005551A"/>
    <w:rsid w:val="00055BCD"/>
    <w:rsid w:val="000561F6"/>
    <w:rsid w:val="00056386"/>
    <w:rsid w:val="000564A8"/>
    <w:rsid w:val="00056963"/>
    <w:rsid w:val="00056A17"/>
    <w:rsid w:val="00057829"/>
    <w:rsid w:val="000579E6"/>
    <w:rsid w:val="00057CA7"/>
    <w:rsid w:val="0006017D"/>
    <w:rsid w:val="000601DF"/>
    <w:rsid w:val="00060D2E"/>
    <w:rsid w:val="00060DCB"/>
    <w:rsid w:val="00060E03"/>
    <w:rsid w:val="00060E34"/>
    <w:rsid w:val="0006188C"/>
    <w:rsid w:val="00061DB6"/>
    <w:rsid w:val="00061F25"/>
    <w:rsid w:val="00063872"/>
    <w:rsid w:val="00063899"/>
    <w:rsid w:val="00063B36"/>
    <w:rsid w:val="00063DC1"/>
    <w:rsid w:val="00063F45"/>
    <w:rsid w:val="000641CE"/>
    <w:rsid w:val="00064D8C"/>
    <w:rsid w:val="00064F6F"/>
    <w:rsid w:val="00065271"/>
    <w:rsid w:val="000652E5"/>
    <w:rsid w:val="00065AC6"/>
    <w:rsid w:val="00065C7F"/>
    <w:rsid w:val="00065CDB"/>
    <w:rsid w:val="00065F48"/>
    <w:rsid w:val="00066176"/>
    <w:rsid w:val="0006618D"/>
    <w:rsid w:val="0006659E"/>
    <w:rsid w:val="00066783"/>
    <w:rsid w:val="00066885"/>
    <w:rsid w:val="0006694E"/>
    <w:rsid w:val="00066964"/>
    <w:rsid w:val="00066A37"/>
    <w:rsid w:val="00066F05"/>
    <w:rsid w:val="000676AA"/>
    <w:rsid w:val="00067ABA"/>
    <w:rsid w:val="00067C4A"/>
    <w:rsid w:val="000704C3"/>
    <w:rsid w:val="00070F28"/>
    <w:rsid w:val="00070F33"/>
    <w:rsid w:val="00070F62"/>
    <w:rsid w:val="000711BF"/>
    <w:rsid w:val="0007122E"/>
    <w:rsid w:val="0007156A"/>
    <w:rsid w:val="00071D47"/>
    <w:rsid w:val="00072130"/>
    <w:rsid w:val="00072628"/>
    <w:rsid w:val="000728ED"/>
    <w:rsid w:val="00072B11"/>
    <w:rsid w:val="00072B15"/>
    <w:rsid w:val="00073289"/>
    <w:rsid w:val="000733F5"/>
    <w:rsid w:val="000733FF"/>
    <w:rsid w:val="0007352F"/>
    <w:rsid w:val="000736F7"/>
    <w:rsid w:val="00073730"/>
    <w:rsid w:val="0007391D"/>
    <w:rsid w:val="0007403D"/>
    <w:rsid w:val="00074E96"/>
    <w:rsid w:val="000753D2"/>
    <w:rsid w:val="000754B7"/>
    <w:rsid w:val="000756C4"/>
    <w:rsid w:val="0007577A"/>
    <w:rsid w:val="00075C5F"/>
    <w:rsid w:val="00075E67"/>
    <w:rsid w:val="000760AA"/>
    <w:rsid w:val="000760E9"/>
    <w:rsid w:val="000764E9"/>
    <w:rsid w:val="000768EA"/>
    <w:rsid w:val="00076B31"/>
    <w:rsid w:val="00076CBC"/>
    <w:rsid w:val="0007720F"/>
    <w:rsid w:val="000775D0"/>
    <w:rsid w:val="00077835"/>
    <w:rsid w:val="00077DFB"/>
    <w:rsid w:val="00077FC7"/>
    <w:rsid w:val="000803D1"/>
    <w:rsid w:val="00081799"/>
    <w:rsid w:val="0008179A"/>
    <w:rsid w:val="000817D4"/>
    <w:rsid w:val="00081B0F"/>
    <w:rsid w:val="00081E47"/>
    <w:rsid w:val="000821C9"/>
    <w:rsid w:val="0008244F"/>
    <w:rsid w:val="0008283D"/>
    <w:rsid w:val="00083090"/>
    <w:rsid w:val="000830EA"/>
    <w:rsid w:val="00083214"/>
    <w:rsid w:val="00083422"/>
    <w:rsid w:val="00083B8F"/>
    <w:rsid w:val="00083BD5"/>
    <w:rsid w:val="00083D79"/>
    <w:rsid w:val="00083D8C"/>
    <w:rsid w:val="00083EE6"/>
    <w:rsid w:val="000844AA"/>
    <w:rsid w:val="0008492C"/>
    <w:rsid w:val="00084B11"/>
    <w:rsid w:val="00084C5C"/>
    <w:rsid w:val="00084D26"/>
    <w:rsid w:val="00085146"/>
    <w:rsid w:val="00085322"/>
    <w:rsid w:val="00085CEF"/>
    <w:rsid w:val="000862EF"/>
    <w:rsid w:val="0008656F"/>
    <w:rsid w:val="000865A1"/>
    <w:rsid w:val="000865CC"/>
    <w:rsid w:val="000869E6"/>
    <w:rsid w:val="00086AB9"/>
    <w:rsid w:val="00086ADB"/>
    <w:rsid w:val="00086BCE"/>
    <w:rsid w:val="00086EF0"/>
    <w:rsid w:val="00086F36"/>
    <w:rsid w:val="000877C0"/>
    <w:rsid w:val="00087EBB"/>
    <w:rsid w:val="00087F62"/>
    <w:rsid w:val="00087FCB"/>
    <w:rsid w:val="00090168"/>
    <w:rsid w:val="00090855"/>
    <w:rsid w:val="00090BBB"/>
    <w:rsid w:val="00090C11"/>
    <w:rsid w:val="00090C76"/>
    <w:rsid w:val="00091033"/>
    <w:rsid w:val="000914C2"/>
    <w:rsid w:val="0009193A"/>
    <w:rsid w:val="00091B34"/>
    <w:rsid w:val="00091EB2"/>
    <w:rsid w:val="00091F10"/>
    <w:rsid w:val="0009269D"/>
    <w:rsid w:val="0009273C"/>
    <w:rsid w:val="00092B19"/>
    <w:rsid w:val="00092FA9"/>
    <w:rsid w:val="0009302B"/>
    <w:rsid w:val="0009367E"/>
    <w:rsid w:val="00093BD9"/>
    <w:rsid w:val="00093EC2"/>
    <w:rsid w:val="000940E2"/>
    <w:rsid w:val="00094410"/>
    <w:rsid w:val="00094883"/>
    <w:rsid w:val="00094D27"/>
    <w:rsid w:val="000958A2"/>
    <w:rsid w:val="00095B91"/>
    <w:rsid w:val="00096074"/>
    <w:rsid w:val="000964B5"/>
    <w:rsid w:val="000965E7"/>
    <w:rsid w:val="00096695"/>
    <w:rsid w:val="000966B0"/>
    <w:rsid w:val="00096D51"/>
    <w:rsid w:val="00096F46"/>
    <w:rsid w:val="000974D2"/>
    <w:rsid w:val="00097F05"/>
    <w:rsid w:val="000A0041"/>
    <w:rsid w:val="000A06FC"/>
    <w:rsid w:val="000A0BE0"/>
    <w:rsid w:val="000A1A02"/>
    <w:rsid w:val="000A2397"/>
    <w:rsid w:val="000A28A2"/>
    <w:rsid w:val="000A2B29"/>
    <w:rsid w:val="000A2EDC"/>
    <w:rsid w:val="000A2F38"/>
    <w:rsid w:val="000A3454"/>
    <w:rsid w:val="000A4035"/>
    <w:rsid w:val="000A4770"/>
    <w:rsid w:val="000A483A"/>
    <w:rsid w:val="000A558F"/>
    <w:rsid w:val="000A55D2"/>
    <w:rsid w:val="000A5BFC"/>
    <w:rsid w:val="000A62EA"/>
    <w:rsid w:val="000A6399"/>
    <w:rsid w:val="000A6418"/>
    <w:rsid w:val="000A64D3"/>
    <w:rsid w:val="000A6C5D"/>
    <w:rsid w:val="000A77B9"/>
    <w:rsid w:val="000A7810"/>
    <w:rsid w:val="000A798F"/>
    <w:rsid w:val="000A7C16"/>
    <w:rsid w:val="000A7EA7"/>
    <w:rsid w:val="000B0062"/>
    <w:rsid w:val="000B0403"/>
    <w:rsid w:val="000B04D9"/>
    <w:rsid w:val="000B057B"/>
    <w:rsid w:val="000B06E7"/>
    <w:rsid w:val="000B0C94"/>
    <w:rsid w:val="000B10D9"/>
    <w:rsid w:val="000B15E5"/>
    <w:rsid w:val="000B1882"/>
    <w:rsid w:val="000B1AE6"/>
    <w:rsid w:val="000B1DA8"/>
    <w:rsid w:val="000B1F2F"/>
    <w:rsid w:val="000B2382"/>
    <w:rsid w:val="000B2462"/>
    <w:rsid w:val="000B28FE"/>
    <w:rsid w:val="000B2FD7"/>
    <w:rsid w:val="000B3171"/>
    <w:rsid w:val="000B3308"/>
    <w:rsid w:val="000B34A5"/>
    <w:rsid w:val="000B385A"/>
    <w:rsid w:val="000B3A51"/>
    <w:rsid w:val="000B3C55"/>
    <w:rsid w:val="000B3D9C"/>
    <w:rsid w:val="000B4481"/>
    <w:rsid w:val="000B4746"/>
    <w:rsid w:val="000B4934"/>
    <w:rsid w:val="000B5169"/>
    <w:rsid w:val="000B5AC3"/>
    <w:rsid w:val="000B5AEB"/>
    <w:rsid w:val="000B624D"/>
    <w:rsid w:val="000B62EA"/>
    <w:rsid w:val="000B668E"/>
    <w:rsid w:val="000B6A40"/>
    <w:rsid w:val="000B6F77"/>
    <w:rsid w:val="000B715C"/>
    <w:rsid w:val="000B71DD"/>
    <w:rsid w:val="000B7966"/>
    <w:rsid w:val="000B7CB1"/>
    <w:rsid w:val="000C077F"/>
    <w:rsid w:val="000C0AE6"/>
    <w:rsid w:val="000C0D0D"/>
    <w:rsid w:val="000C12DF"/>
    <w:rsid w:val="000C1523"/>
    <w:rsid w:val="000C1BAA"/>
    <w:rsid w:val="000C1C57"/>
    <w:rsid w:val="000C1D80"/>
    <w:rsid w:val="000C1F40"/>
    <w:rsid w:val="000C244C"/>
    <w:rsid w:val="000C2555"/>
    <w:rsid w:val="000C29D3"/>
    <w:rsid w:val="000C3545"/>
    <w:rsid w:val="000C370E"/>
    <w:rsid w:val="000C3B3F"/>
    <w:rsid w:val="000C411C"/>
    <w:rsid w:val="000C438E"/>
    <w:rsid w:val="000C4796"/>
    <w:rsid w:val="000C498A"/>
    <w:rsid w:val="000C4C16"/>
    <w:rsid w:val="000C56FC"/>
    <w:rsid w:val="000C577C"/>
    <w:rsid w:val="000C57ED"/>
    <w:rsid w:val="000C5EDB"/>
    <w:rsid w:val="000C6214"/>
    <w:rsid w:val="000C6A59"/>
    <w:rsid w:val="000C6ADE"/>
    <w:rsid w:val="000C6E23"/>
    <w:rsid w:val="000C7263"/>
    <w:rsid w:val="000C7601"/>
    <w:rsid w:val="000C7907"/>
    <w:rsid w:val="000C7A11"/>
    <w:rsid w:val="000C7E44"/>
    <w:rsid w:val="000C7F5E"/>
    <w:rsid w:val="000D00AC"/>
    <w:rsid w:val="000D0468"/>
    <w:rsid w:val="000D0AED"/>
    <w:rsid w:val="000D10B5"/>
    <w:rsid w:val="000D13CD"/>
    <w:rsid w:val="000D1514"/>
    <w:rsid w:val="000D1619"/>
    <w:rsid w:val="000D1713"/>
    <w:rsid w:val="000D1A6F"/>
    <w:rsid w:val="000D1C79"/>
    <w:rsid w:val="000D21E4"/>
    <w:rsid w:val="000D226A"/>
    <w:rsid w:val="000D28C3"/>
    <w:rsid w:val="000D2B26"/>
    <w:rsid w:val="000D2D64"/>
    <w:rsid w:val="000D2F4F"/>
    <w:rsid w:val="000D3602"/>
    <w:rsid w:val="000D3FF9"/>
    <w:rsid w:val="000D4119"/>
    <w:rsid w:val="000D448B"/>
    <w:rsid w:val="000D4769"/>
    <w:rsid w:val="000D4D89"/>
    <w:rsid w:val="000D4F54"/>
    <w:rsid w:val="000D525F"/>
    <w:rsid w:val="000D5331"/>
    <w:rsid w:val="000D5499"/>
    <w:rsid w:val="000D5AFD"/>
    <w:rsid w:val="000D602B"/>
    <w:rsid w:val="000D6BBD"/>
    <w:rsid w:val="000D766B"/>
    <w:rsid w:val="000D7751"/>
    <w:rsid w:val="000D7C23"/>
    <w:rsid w:val="000D7FCB"/>
    <w:rsid w:val="000E0264"/>
    <w:rsid w:val="000E0A16"/>
    <w:rsid w:val="000E0C41"/>
    <w:rsid w:val="000E11B4"/>
    <w:rsid w:val="000E1832"/>
    <w:rsid w:val="000E1BFA"/>
    <w:rsid w:val="000E2142"/>
    <w:rsid w:val="000E21D0"/>
    <w:rsid w:val="000E26FF"/>
    <w:rsid w:val="000E2A38"/>
    <w:rsid w:val="000E2ACC"/>
    <w:rsid w:val="000E2BBD"/>
    <w:rsid w:val="000E31FB"/>
    <w:rsid w:val="000E3427"/>
    <w:rsid w:val="000E3BC8"/>
    <w:rsid w:val="000E4467"/>
    <w:rsid w:val="000E4A2A"/>
    <w:rsid w:val="000E4C98"/>
    <w:rsid w:val="000E507E"/>
    <w:rsid w:val="000E5509"/>
    <w:rsid w:val="000E558F"/>
    <w:rsid w:val="000E585F"/>
    <w:rsid w:val="000E5D35"/>
    <w:rsid w:val="000E5DF2"/>
    <w:rsid w:val="000E5F15"/>
    <w:rsid w:val="000E6079"/>
    <w:rsid w:val="000E6359"/>
    <w:rsid w:val="000E66F8"/>
    <w:rsid w:val="000E6958"/>
    <w:rsid w:val="000E69FF"/>
    <w:rsid w:val="000E6A76"/>
    <w:rsid w:val="000E6D01"/>
    <w:rsid w:val="000F02B3"/>
    <w:rsid w:val="000F054F"/>
    <w:rsid w:val="000F079D"/>
    <w:rsid w:val="000F0D9D"/>
    <w:rsid w:val="000F10F0"/>
    <w:rsid w:val="000F162B"/>
    <w:rsid w:val="000F19FA"/>
    <w:rsid w:val="000F1CAB"/>
    <w:rsid w:val="000F1D56"/>
    <w:rsid w:val="000F2153"/>
    <w:rsid w:val="000F23DA"/>
    <w:rsid w:val="000F251A"/>
    <w:rsid w:val="000F2534"/>
    <w:rsid w:val="000F28D9"/>
    <w:rsid w:val="000F2D43"/>
    <w:rsid w:val="000F2DF0"/>
    <w:rsid w:val="000F2EA9"/>
    <w:rsid w:val="000F2F9A"/>
    <w:rsid w:val="000F38F0"/>
    <w:rsid w:val="000F3AA0"/>
    <w:rsid w:val="000F458D"/>
    <w:rsid w:val="000F4AEB"/>
    <w:rsid w:val="000F4B40"/>
    <w:rsid w:val="000F4C3B"/>
    <w:rsid w:val="000F4E40"/>
    <w:rsid w:val="000F4E7B"/>
    <w:rsid w:val="000F4F02"/>
    <w:rsid w:val="000F53F8"/>
    <w:rsid w:val="000F57C3"/>
    <w:rsid w:val="000F5C37"/>
    <w:rsid w:val="000F5DF0"/>
    <w:rsid w:val="000F6294"/>
    <w:rsid w:val="000F630A"/>
    <w:rsid w:val="000F66F0"/>
    <w:rsid w:val="000F6A0B"/>
    <w:rsid w:val="000F6E91"/>
    <w:rsid w:val="000F70BF"/>
    <w:rsid w:val="000F7695"/>
    <w:rsid w:val="000F79BD"/>
    <w:rsid w:val="001001C6"/>
    <w:rsid w:val="00100D2E"/>
    <w:rsid w:val="00101203"/>
    <w:rsid w:val="001012E3"/>
    <w:rsid w:val="00101770"/>
    <w:rsid w:val="00101CBE"/>
    <w:rsid w:val="00101EEB"/>
    <w:rsid w:val="00101F74"/>
    <w:rsid w:val="001028E2"/>
    <w:rsid w:val="00103055"/>
    <w:rsid w:val="0010375A"/>
    <w:rsid w:val="001038ED"/>
    <w:rsid w:val="00103947"/>
    <w:rsid w:val="001042B0"/>
    <w:rsid w:val="0010468B"/>
    <w:rsid w:val="0010558B"/>
    <w:rsid w:val="00105A89"/>
    <w:rsid w:val="00105A9E"/>
    <w:rsid w:val="0010600F"/>
    <w:rsid w:val="0010681E"/>
    <w:rsid w:val="00106B94"/>
    <w:rsid w:val="00106F4F"/>
    <w:rsid w:val="001071D3"/>
    <w:rsid w:val="001075A8"/>
    <w:rsid w:val="001077E1"/>
    <w:rsid w:val="0010789F"/>
    <w:rsid w:val="00107923"/>
    <w:rsid w:val="00107F02"/>
    <w:rsid w:val="00110259"/>
    <w:rsid w:val="00110395"/>
    <w:rsid w:val="00110AA9"/>
    <w:rsid w:val="00110E33"/>
    <w:rsid w:val="00111560"/>
    <w:rsid w:val="00111572"/>
    <w:rsid w:val="00111E28"/>
    <w:rsid w:val="001121D6"/>
    <w:rsid w:val="0011254D"/>
    <w:rsid w:val="001127F5"/>
    <w:rsid w:val="00113691"/>
    <w:rsid w:val="0011374E"/>
    <w:rsid w:val="001139C2"/>
    <w:rsid w:val="00114559"/>
    <w:rsid w:val="00114DAA"/>
    <w:rsid w:val="00114EA9"/>
    <w:rsid w:val="00114F6B"/>
    <w:rsid w:val="0011528E"/>
    <w:rsid w:val="00115354"/>
    <w:rsid w:val="00115475"/>
    <w:rsid w:val="00115846"/>
    <w:rsid w:val="001159F9"/>
    <w:rsid w:val="00115DC3"/>
    <w:rsid w:val="00115ED0"/>
    <w:rsid w:val="0011665F"/>
    <w:rsid w:val="001167F3"/>
    <w:rsid w:val="0011683C"/>
    <w:rsid w:val="00117143"/>
    <w:rsid w:val="0011776B"/>
    <w:rsid w:val="001179E8"/>
    <w:rsid w:val="00120209"/>
    <w:rsid w:val="0012021B"/>
    <w:rsid w:val="0012222D"/>
    <w:rsid w:val="00123E51"/>
    <w:rsid w:val="0012424A"/>
    <w:rsid w:val="0012452F"/>
    <w:rsid w:val="00124D12"/>
    <w:rsid w:val="001255E6"/>
    <w:rsid w:val="00125610"/>
    <w:rsid w:val="00125EDB"/>
    <w:rsid w:val="00125F34"/>
    <w:rsid w:val="0012608D"/>
    <w:rsid w:val="001260D9"/>
    <w:rsid w:val="00126494"/>
    <w:rsid w:val="00127A05"/>
    <w:rsid w:val="0013036A"/>
    <w:rsid w:val="0013053A"/>
    <w:rsid w:val="0013066A"/>
    <w:rsid w:val="0013095A"/>
    <w:rsid w:val="00131329"/>
    <w:rsid w:val="001315EF"/>
    <w:rsid w:val="00131F39"/>
    <w:rsid w:val="001322F1"/>
    <w:rsid w:val="00132375"/>
    <w:rsid w:val="00132E73"/>
    <w:rsid w:val="00133478"/>
    <w:rsid w:val="00133505"/>
    <w:rsid w:val="0013350C"/>
    <w:rsid w:val="001337C6"/>
    <w:rsid w:val="00133E57"/>
    <w:rsid w:val="00134188"/>
    <w:rsid w:val="001341BB"/>
    <w:rsid w:val="0013429C"/>
    <w:rsid w:val="00134DB9"/>
    <w:rsid w:val="00134EBB"/>
    <w:rsid w:val="00135563"/>
    <w:rsid w:val="001357B9"/>
    <w:rsid w:val="00135A08"/>
    <w:rsid w:val="0013617A"/>
    <w:rsid w:val="00136EDB"/>
    <w:rsid w:val="00137403"/>
    <w:rsid w:val="00137857"/>
    <w:rsid w:val="00137995"/>
    <w:rsid w:val="001379A5"/>
    <w:rsid w:val="00137F0C"/>
    <w:rsid w:val="00137F84"/>
    <w:rsid w:val="00140706"/>
    <w:rsid w:val="001409B3"/>
    <w:rsid w:val="00140BDB"/>
    <w:rsid w:val="00140D61"/>
    <w:rsid w:val="00141064"/>
    <w:rsid w:val="0014122A"/>
    <w:rsid w:val="001417F5"/>
    <w:rsid w:val="001419F8"/>
    <w:rsid w:val="00141AC1"/>
    <w:rsid w:val="00141D13"/>
    <w:rsid w:val="00141E85"/>
    <w:rsid w:val="00141EA4"/>
    <w:rsid w:val="00141F4C"/>
    <w:rsid w:val="001421DA"/>
    <w:rsid w:val="001424C4"/>
    <w:rsid w:val="001425AF"/>
    <w:rsid w:val="00142757"/>
    <w:rsid w:val="00142E61"/>
    <w:rsid w:val="0014319C"/>
    <w:rsid w:val="0014333A"/>
    <w:rsid w:val="0014342F"/>
    <w:rsid w:val="001436B3"/>
    <w:rsid w:val="00143976"/>
    <w:rsid w:val="00143DAC"/>
    <w:rsid w:val="00144622"/>
    <w:rsid w:val="00144781"/>
    <w:rsid w:val="00144917"/>
    <w:rsid w:val="00144AE3"/>
    <w:rsid w:val="00144CE0"/>
    <w:rsid w:val="00144D5C"/>
    <w:rsid w:val="00144D71"/>
    <w:rsid w:val="00144F99"/>
    <w:rsid w:val="0014543F"/>
    <w:rsid w:val="0014567E"/>
    <w:rsid w:val="0014587E"/>
    <w:rsid w:val="0014640D"/>
    <w:rsid w:val="00146F71"/>
    <w:rsid w:val="0014702D"/>
    <w:rsid w:val="00147596"/>
    <w:rsid w:val="001479E4"/>
    <w:rsid w:val="00147C23"/>
    <w:rsid w:val="00147E1C"/>
    <w:rsid w:val="00150713"/>
    <w:rsid w:val="0015077F"/>
    <w:rsid w:val="0015078A"/>
    <w:rsid w:val="0015093C"/>
    <w:rsid w:val="00150E04"/>
    <w:rsid w:val="00150F46"/>
    <w:rsid w:val="001515CF"/>
    <w:rsid w:val="001516A5"/>
    <w:rsid w:val="00152063"/>
    <w:rsid w:val="0015226F"/>
    <w:rsid w:val="00152359"/>
    <w:rsid w:val="00152718"/>
    <w:rsid w:val="00152A47"/>
    <w:rsid w:val="001530CF"/>
    <w:rsid w:val="001534D2"/>
    <w:rsid w:val="00153586"/>
    <w:rsid w:val="0015359F"/>
    <w:rsid w:val="00153906"/>
    <w:rsid w:val="0015391F"/>
    <w:rsid w:val="00153F12"/>
    <w:rsid w:val="001540A6"/>
    <w:rsid w:val="001543DB"/>
    <w:rsid w:val="00154598"/>
    <w:rsid w:val="00154D01"/>
    <w:rsid w:val="00154D0E"/>
    <w:rsid w:val="00154D4C"/>
    <w:rsid w:val="00154FF7"/>
    <w:rsid w:val="0015509B"/>
    <w:rsid w:val="00155266"/>
    <w:rsid w:val="00155473"/>
    <w:rsid w:val="001554B6"/>
    <w:rsid w:val="00155630"/>
    <w:rsid w:val="00155C08"/>
    <w:rsid w:val="00155DC2"/>
    <w:rsid w:val="00156249"/>
    <w:rsid w:val="00156BB9"/>
    <w:rsid w:val="00156CFA"/>
    <w:rsid w:val="00156D90"/>
    <w:rsid w:val="00156E9F"/>
    <w:rsid w:val="0015739F"/>
    <w:rsid w:val="00157A57"/>
    <w:rsid w:val="00157B33"/>
    <w:rsid w:val="00157D82"/>
    <w:rsid w:val="00157DB6"/>
    <w:rsid w:val="00157EC2"/>
    <w:rsid w:val="00160BD4"/>
    <w:rsid w:val="001612C3"/>
    <w:rsid w:val="0016194F"/>
    <w:rsid w:val="00161997"/>
    <w:rsid w:val="00161D16"/>
    <w:rsid w:val="00162736"/>
    <w:rsid w:val="00162807"/>
    <w:rsid w:val="00162A68"/>
    <w:rsid w:val="00162E08"/>
    <w:rsid w:val="00162F4A"/>
    <w:rsid w:val="00163109"/>
    <w:rsid w:val="001633F1"/>
    <w:rsid w:val="0016457B"/>
    <w:rsid w:val="0016531E"/>
    <w:rsid w:val="0016565C"/>
    <w:rsid w:val="00165B11"/>
    <w:rsid w:val="00166314"/>
    <w:rsid w:val="00166746"/>
    <w:rsid w:val="00167590"/>
    <w:rsid w:val="00167918"/>
    <w:rsid w:val="00167C1E"/>
    <w:rsid w:val="00170199"/>
    <w:rsid w:val="0017043B"/>
    <w:rsid w:val="001706A1"/>
    <w:rsid w:val="00170914"/>
    <w:rsid w:val="001709BF"/>
    <w:rsid w:val="00170DF2"/>
    <w:rsid w:val="00170F4F"/>
    <w:rsid w:val="00172B60"/>
    <w:rsid w:val="0017322D"/>
    <w:rsid w:val="001738E7"/>
    <w:rsid w:val="00173F17"/>
    <w:rsid w:val="00173F6F"/>
    <w:rsid w:val="00174841"/>
    <w:rsid w:val="001751FA"/>
    <w:rsid w:val="00175617"/>
    <w:rsid w:val="00175A03"/>
    <w:rsid w:val="00175A89"/>
    <w:rsid w:val="001761FD"/>
    <w:rsid w:val="00176313"/>
    <w:rsid w:val="001767AB"/>
    <w:rsid w:val="00176A6E"/>
    <w:rsid w:val="00176BF3"/>
    <w:rsid w:val="00176ED8"/>
    <w:rsid w:val="00177257"/>
    <w:rsid w:val="00177C39"/>
    <w:rsid w:val="00177D61"/>
    <w:rsid w:val="00180125"/>
    <w:rsid w:val="00180218"/>
    <w:rsid w:val="001805FA"/>
    <w:rsid w:val="0018085C"/>
    <w:rsid w:val="001808CA"/>
    <w:rsid w:val="00180923"/>
    <w:rsid w:val="00180B3D"/>
    <w:rsid w:val="00180C5A"/>
    <w:rsid w:val="00180CE5"/>
    <w:rsid w:val="001812BE"/>
    <w:rsid w:val="00181BAA"/>
    <w:rsid w:val="00181D2D"/>
    <w:rsid w:val="0018210A"/>
    <w:rsid w:val="001821C0"/>
    <w:rsid w:val="00182727"/>
    <w:rsid w:val="00182DE0"/>
    <w:rsid w:val="00182E5B"/>
    <w:rsid w:val="0018341B"/>
    <w:rsid w:val="0018386C"/>
    <w:rsid w:val="00183C16"/>
    <w:rsid w:val="00184479"/>
    <w:rsid w:val="001845AD"/>
    <w:rsid w:val="001845B2"/>
    <w:rsid w:val="0018472C"/>
    <w:rsid w:val="00184838"/>
    <w:rsid w:val="00185039"/>
    <w:rsid w:val="001855A1"/>
    <w:rsid w:val="001855F0"/>
    <w:rsid w:val="00185755"/>
    <w:rsid w:val="00185C39"/>
    <w:rsid w:val="00185C69"/>
    <w:rsid w:val="00185E9A"/>
    <w:rsid w:val="00185EC5"/>
    <w:rsid w:val="00185FDE"/>
    <w:rsid w:val="0018658B"/>
    <w:rsid w:val="00186F17"/>
    <w:rsid w:val="00187045"/>
    <w:rsid w:val="00187398"/>
    <w:rsid w:val="00187641"/>
    <w:rsid w:val="00187663"/>
    <w:rsid w:val="0018782C"/>
    <w:rsid w:val="0018792A"/>
    <w:rsid w:val="00187ABB"/>
    <w:rsid w:val="00187C6A"/>
    <w:rsid w:val="00187F2D"/>
    <w:rsid w:val="00187F73"/>
    <w:rsid w:val="00187FB0"/>
    <w:rsid w:val="001902E9"/>
    <w:rsid w:val="00190327"/>
    <w:rsid w:val="001908E1"/>
    <w:rsid w:val="00190A0A"/>
    <w:rsid w:val="00191237"/>
    <w:rsid w:val="00191984"/>
    <w:rsid w:val="00191A5F"/>
    <w:rsid w:val="00191FEE"/>
    <w:rsid w:val="001926F2"/>
    <w:rsid w:val="00192F27"/>
    <w:rsid w:val="001930ED"/>
    <w:rsid w:val="0019337F"/>
    <w:rsid w:val="00193804"/>
    <w:rsid w:val="00193A07"/>
    <w:rsid w:val="00193BCE"/>
    <w:rsid w:val="00193CDD"/>
    <w:rsid w:val="00193EEA"/>
    <w:rsid w:val="00194068"/>
    <w:rsid w:val="00194584"/>
    <w:rsid w:val="00194B87"/>
    <w:rsid w:val="00194C54"/>
    <w:rsid w:val="00194CFE"/>
    <w:rsid w:val="001954C9"/>
    <w:rsid w:val="0019569A"/>
    <w:rsid w:val="0019574C"/>
    <w:rsid w:val="00195778"/>
    <w:rsid w:val="00195962"/>
    <w:rsid w:val="00195A55"/>
    <w:rsid w:val="00195B10"/>
    <w:rsid w:val="00195E83"/>
    <w:rsid w:val="00196A92"/>
    <w:rsid w:val="0019751F"/>
    <w:rsid w:val="00197533"/>
    <w:rsid w:val="001977E7"/>
    <w:rsid w:val="001979A6"/>
    <w:rsid w:val="00197CCA"/>
    <w:rsid w:val="001A04CE"/>
    <w:rsid w:val="001A04EA"/>
    <w:rsid w:val="001A06E8"/>
    <w:rsid w:val="001A09A1"/>
    <w:rsid w:val="001A0AF9"/>
    <w:rsid w:val="001A0D6E"/>
    <w:rsid w:val="001A0D8A"/>
    <w:rsid w:val="001A0E16"/>
    <w:rsid w:val="001A11AB"/>
    <w:rsid w:val="001A17EC"/>
    <w:rsid w:val="001A18CD"/>
    <w:rsid w:val="001A192D"/>
    <w:rsid w:val="001A1B1C"/>
    <w:rsid w:val="001A1E09"/>
    <w:rsid w:val="001A1F74"/>
    <w:rsid w:val="001A1FDD"/>
    <w:rsid w:val="001A2385"/>
    <w:rsid w:val="001A2414"/>
    <w:rsid w:val="001A269B"/>
    <w:rsid w:val="001A2847"/>
    <w:rsid w:val="001A3AA3"/>
    <w:rsid w:val="001A3ADA"/>
    <w:rsid w:val="001A3B5C"/>
    <w:rsid w:val="001A4330"/>
    <w:rsid w:val="001A5FE6"/>
    <w:rsid w:val="001A7C72"/>
    <w:rsid w:val="001B084B"/>
    <w:rsid w:val="001B0CEC"/>
    <w:rsid w:val="001B0FFC"/>
    <w:rsid w:val="001B13A3"/>
    <w:rsid w:val="001B14DF"/>
    <w:rsid w:val="001B1BFF"/>
    <w:rsid w:val="001B1CF2"/>
    <w:rsid w:val="001B1E65"/>
    <w:rsid w:val="001B1FBF"/>
    <w:rsid w:val="001B223B"/>
    <w:rsid w:val="001B250F"/>
    <w:rsid w:val="001B28F4"/>
    <w:rsid w:val="001B3085"/>
    <w:rsid w:val="001B34A5"/>
    <w:rsid w:val="001B3806"/>
    <w:rsid w:val="001B4388"/>
    <w:rsid w:val="001B463E"/>
    <w:rsid w:val="001B49E0"/>
    <w:rsid w:val="001B4B44"/>
    <w:rsid w:val="001B5377"/>
    <w:rsid w:val="001B5433"/>
    <w:rsid w:val="001B56AB"/>
    <w:rsid w:val="001B58E0"/>
    <w:rsid w:val="001B6249"/>
    <w:rsid w:val="001B6553"/>
    <w:rsid w:val="001B6647"/>
    <w:rsid w:val="001B6A47"/>
    <w:rsid w:val="001B6B0A"/>
    <w:rsid w:val="001B6C3C"/>
    <w:rsid w:val="001B722D"/>
    <w:rsid w:val="001B7325"/>
    <w:rsid w:val="001C0824"/>
    <w:rsid w:val="001C0B83"/>
    <w:rsid w:val="001C1510"/>
    <w:rsid w:val="001C1989"/>
    <w:rsid w:val="001C1CED"/>
    <w:rsid w:val="001C2066"/>
    <w:rsid w:val="001C23A5"/>
    <w:rsid w:val="001C28FD"/>
    <w:rsid w:val="001C292C"/>
    <w:rsid w:val="001C29CA"/>
    <w:rsid w:val="001C2C68"/>
    <w:rsid w:val="001C2D01"/>
    <w:rsid w:val="001C3349"/>
    <w:rsid w:val="001C41C6"/>
    <w:rsid w:val="001C4ABA"/>
    <w:rsid w:val="001C4B36"/>
    <w:rsid w:val="001C4B38"/>
    <w:rsid w:val="001C4D2A"/>
    <w:rsid w:val="001C52B2"/>
    <w:rsid w:val="001C546B"/>
    <w:rsid w:val="001C5667"/>
    <w:rsid w:val="001C56B4"/>
    <w:rsid w:val="001C5868"/>
    <w:rsid w:val="001C5BE1"/>
    <w:rsid w:val="001C5C8F"/>
    <w:rsid w:val="001C5EA2"/>
    <w:rsid w:val="001C65E5"/>
    <w:rsid w:val="001C6608"/>
    <w:rsid w:val="001C6B09"/>
    <w:rsid w:val="001C6C7D"/>
    <w:rsid w:val="001D0177"/>
    <w:rsid w:val="001D058C"/>
    <w:rsid w:val="001D0EB3"/>
    <w:rsid w:val="001D1528"/>
    <w:rsid w:val="001D1579"/>
    <w:rsid w:val="001D1655"/>
    <w:rsid w:val="001D18B2"/>
    <w:rsid w:val="001D1CA1"/>
    <w:rsid w:val="001D1CB1"/>
    <w:rsid w:val="001D2196"/>
    <w:rsid w:val="001D257C"/>
    <w:rsid w:val="001D2893"/>
    <w:rsid w:val="001D2AC0"/>
    <w:rsid w:val="001D2DBA"/>
    <w:rsid w:val="001D2FD0"/>
    <w:rsid w:val="001D2FD4"/>
    <w:rsid w:val="001D3301"/>
    <w:rsid w:val="001D3830"/>
    <w:rsid w:val="001D3BA6"/>
    <w:rsid w:val="001D3EA5"/>
    <w:rsid w:val="001D40C0"/>
    <w:rsid w:val="001D4BA7"/>
    <w:rsid w:val="001D4DD2"/>
    <w:rsid w:val="001D4E2C"/>
    <w:rsid w:val="001D4F73"/>
    <w:rsid w:val="001D5276"/>
    <w:rsid w:val="001D5473"/>
    <w:rsid w:val="001D5564"/>
    <w:rsid w:val="001D5ABB"/>
    <w:rsid w:val="001D5D50"/>
    <w:rsid w:val="001D6262"/>
    <w:rsid w:val="001D658B"/>
    <w:rsid w:val="001D6E08"/>
    <w:rsid w:val="001D6FAA"/>
    <w:rsid w:val="001D70FA"/>
    <w:rsid w:val="001D7273"/>
    <w:rsid w:val="001D73D9"/>
    <w:rsid w:val="001D7BA9"/>
    <w:rsid w:val="001D7F9D"/>
    <w:rsid w:val="001E02A3"/>
    <w:rsid w:val="001E039D"/>
    <w:rsid w:val="001E0523"/>
    <w:rsid w:val="001E078E"/>
    <w:rsid w:val="001E0EDE"/>
    <w:rsid w:val="001E0FFC"/>
    <w:rsid w:val="001E11D9"/>
    <w:rsid w:val="001E186F"/>
    <w:rsid w:val="001E192A"/>
    <w:rsid w:val="001E1B22"/>
    <w:rsid w:val="001E1C18"/>
    <w:rsid w:val="001E2023"/>
    <w:rsid w:val="001E22E7"/>
    <w:rsid w:val="001E2714"/>
    <w:rsid w:val="001E2A08"/>
    <w:rsid w:val="001E3220"/>
    <w:rsid w:val="001E35CA"/>
    <w:rsid w:val="001E366D"/>
    <w:rsid w:val="001E3713"/>
    <w:rsid w:val="001E398C"/>
    <w:rsid w:val="001E4194"/>
    <w:rsid w:val="001E4456"/>
    <w:rsid w:val="001E48AD"/>
    <w:rsid w:val="001E4DDC"/>
    <w:rsid w:val="001E50F3"/>
    <w:rsid w:val="001E6172"/>
    <w:rsid w:val="001E61AA"/>
    <w:rsid w:val="001E774F"/>
    <w:rsid w:val="001E7C1D"/>
    <w:rsid w:val="001E7EA3"/>
    <w:rsid w:val="001E7F5F"/>
    <w:rsid w:val="001F04C0"/>
    <w:rsid w:val="001F073F"/>
    <w:rsid w:val="001F0827"/>
    <w:rsid w:val="001F0C7F"/>
    <w:rsid w:val="001F12C9"/>
    <w:rsid w:val="001F1605"/>
    <w:rsid w:val="001F1C90"/>
    <w:rsid w:val="001F1E53"/>
    <w:rsid w:val="001F1E73"/>
    <w:rsid w:val="001F29E7"/>
    <w:rsid w:val="001F3009"/>
    <w:rsid w:val="001F3358"/>
    <w:rsid w:val="001F35CB"/>
    <w:rsid w:val="001F390F"/>
    <w:rsid w:val="001F3AC9"/>
    <w:rsid w:val="001F3B0C"/>
    <w:rsid w:val="001F3F9E"/>
    <w:rsid w:val="001F410A"/>
    <w:rsid w:val="001F5599"/>
    <w:rsid w:val="001F5674"/>
    <w:rsid w:val="001F5684"/>
    <w:rsid w:val="001F5AF4"/>
    <w:rsid w:val="001F5CD1"/>
    <w:rsid w:val="001F7257"/>
    <w:rsid w:val="001F736A"/>
    <w:rsid w:val="001F74AA"/>
    <w:rsid w:val="001F7739"/>
    <w:rsid w:val="001F7F76"/>
    <w:rsid w:val="0020011B"/>
    <w:rsid w:val="002002AF"/>
    <w:rsid w:val="0020187E"/>
    <w:rsid w:val="00201DC6"/>
    <w:rsid w:val="00202375"/>
    <w:rsid w:val="00202523"/>
    <w:rsid w:val="002025EA"/>
    <w:rsid w:val="00202884"/>
    <w:rsid w:val="00202DD4"/>
    <w:rsid w:val="00202E0F"/>
    <w:rsid w:val="00202E44"/>
    <w:rsid w:val="00203197"/>
    <w:rsid w:val="002032A5"/>
    <w:rsid w:val="00203556"/>
    <w:rsid w:val="002038A7"/>
    <w:rsid w:val="002046F4"/>
    <w:rsid w:val="00204741"/>
    <w:rsid w:val="00204D0F"/>
    <w:rsid w:val="00204DB6"/>
    <w:rsid w:val="00204E5C"/>
    <w:rsid w:val="0020515A"/>
    <w:rsid w:val="002051FB"/>
    <w:rsid w:val="002056ED"/>
    <w:rsid w:val="00205C3A"/>
    <w:rsid w:val="002068B9"/>
    <w:rsid w:val="002068EC"/>
    <w:rsid w:val="002069E7"/>
    <w:rsid w:val="00207E13"/>
    <w:rsid w:val="0021001F"/>
    <w:rsid w:val="002101CF"/>
    <w:rsid w:val="0021046E"/>
    <w:rsid w:val="00210A40"/>
    <w:rsid w:val="0021105B"/>
    <w:rsid w:val="002111BA"/>
    <w:rsid w:val="00211793"/>
    <w:rsid w:val="00211C11"/>
    <w:rsid w:val="00211CA7"/>
    <w:rsid w:val="00211FEE"/>
    <w:rsid w:val="00212345"/>
    <w:rsid w:val="002123B5"/>
    <w:rsid w:val="00212452"/>
    <w:rsid w:val="002128E9"/>
    <w:rsid w:val="00212BAD"/>
    <w:rsid w:val="00212C9E"/>
    <w:rsid w:val="00212CFB"/>
    <w:rsid w:val="00212EA8"/>
    <w:rsid w:val="00212FCB"/>
    <w:rsid w:val="00213216"/>
    <w:rsid w:val="00213A21"/>
    <w:rsid w:val="002147FA"/>
    <w:rsid w:val="00214809"/>
    <w:rsid w:val="002149A1"/>
    <w:rsid w:val="00214B79"/>
    <w:rsid w:val="00214E45"/>
    <w:rsid w:val="00214E7A"/>
    <w:rsid w:val="00214FEB"/>
    <w:rsid w:val="002156C3"/>
    <w:rsid w:val="00215BFE"/>
    <w:rsid w:val="00215C44"/>
    <w:rsid w:val="002160EB"/>
    <w:rsid w:val="00216116"/>
    <w:rsid w:val="00216393"/>
    <w:rsid w:val="002168C5"/>
    <w:rsid w:val="00216E73"/>
    <w:rsid w:val="0021736D"/>
    <w:rsid w:val="00217626"/>
    <w:rsid w:val="0021774C"/>
    <w:rsid w:val="0021779C"/>
    <w:rsid w:val="00217FDB"/>
    <w:rsid w:val="00217FF6"/>
    <w:rsid w:val="002201A8"/>
    <w:rsid w:val="00220A67"/>
    <w:rsid w:val="00221070"/>
    <w:rsid w:val="0022176E"/>
    <w:rsid w:val="00221EBF"/>
    <w:rsid w:val="00222386"/>
    <w:rsid w:val="002225B8"/>
    <w:rsid w:val="00222F51"/>
    <w:rsid w:val="002230E1"/>
    <w:rsid w:val="00223361"/>
    <w:rsid w:val="002244BA"/>
    <w:rsid w:val="002247AA"/>
    <w:rsid w:val="00224DA7"/>
    <w:rsid w:val="00224E87"/>
    <w:rsid w:val="00224F89"/>
    <w:rsid w:val="00225164"/>
    <w:rsid w:val="002255C5"/>
    <w:rsid w:val="002257FA"/>
    <w:rsid w:val="002259F5"/>
    <w:rsid w:val="00225A11"/>
    <w:rsid w:val="00226163"/>
    <w:rsid w:val="002261CB"/>
    <w:rsid w:val="00226491"/>
    <w:rsid w:val="002268BF"/>
    <w:rsid w:val="00226E11"/>
    <w:rsid w:val="00227BDE"/>
    <w:rsid w:val="00227FF2"/>
    <w:rsid w:val="00230045"/>
    <w:rsid w:val="0023014E"/>
    <w:rsid w:val="00230263"/>
    <w:rsid w:val="002308FA"/>
    <w:rsid w:val="002308FF"/>
    <w:rsid w:val="00230995"/>
    <w:rsid w:val="00230B9A"/>
    <w:rsid w:val="0023132F"/>
    <w:rsid w:val="00231805"/>
    <w:rsid w:val="00231AA5"/>
    <w:rsid w:val="0023242E"/>
    <w:rsid w:val="002329EF"/>
    <w:rsid w:val="00232F90"/>
    <w:rsid w:val="00233366"/>
    <w:rsid w:val="0023339B"/>
    <w:rsid w:val="00233BF4"/>
    <w:rsid w:val="00233CA8"/>
    <w:rsid w:val="0023437C"/>
    <w:rsid w:val="0023469C"/>
    <w:rsid w:val="002349A9"/>
    <w:rsid w:val="00234C71"/>
    <w:rsid w:val="00234E87"/>
    <w:rsid w:val="00235477"/>
    <w:rsid w:val="002354C7"/>
    <w:rsid w:val="00235511"/>
    <w:rsid w:val="00235AEE"/>
    <w:rsid w:val="0023616A"/>
    <w:rsid w:val="002366E0"/>
    <w:rsid w:val="00236B2A"/>
    <w:rsid w:val="00236BB2"/>
    <w:rsid w:val="00236DE1"/>
    <w:rsid w:val="00237063"/>
    <w:rsid w:val="002372EE"/>
    <w:rsid w:val="002372FD"/>
    <w:rsid w:val="002374F8"/>
    <w:rsid w:val="0023764D"/>
    <w:rsid w:val="002378E3"/>
    <w:rsid w:val="00237C51"/>
    <w:rsid w:val="002402AD"/>
    <w:rsid w:val="002404DB"/>
    <w:rsid w:val="0024131C"/>
    <w:rsid w:val="002415BC"/>
    <w:rsid w:val="00242396"/>
    <w:rsid w:val="00242862"/>
    <w:rsid w:val="00242ED2"/>
    <w:rsid w:val="00242F5A"/>
    <w:rsid w:val="00243288"/>
    <w:rsid w:val="002434B2"/>
    <w:rsid w:val="00243AC2"/>
    <w:rsid w:val="00244066"/>
    <w:rsid w:val="002442F4"/>
    <w:rsid w:val="002445EA"/>
    <w:rsid w:val="00244841"/>
    <w:rsid w:val="00244ECE"/>
    <w:rsid w:val="00244FC5"/>
    <w:rsid w:val="00245208"/>
    <w:rsid w:val="002453FF"/>
    <w:rsid w:val="0024544F"/>
    <w:rsid w:val="00245907"/>
    <w:rsid w:val="00245D1D"/>
    <w:rsid w:val="00246199"/>
    <w:rsid w:val="0024684A"/>
    <w:rsid w:val="00246E0C"/>
    <w:rsid w:val="0024763D"/>
    <w:rsid w:val="00247728"/>
    <w:rsid w:val="00247DA0"/>
    <w:rsid w:val="00250586"/>
    <w:rsid w:val="002506B4"/>
    <w:rsid w:val="002506D4"/>
    <w:rsid w:val="00250D20"/>
    <w:rsid w:val="00250EDA"/>
    <w:rsid w:val="002512D1"/>
    <w:rsid w:val="00251502"/>
    <w:rsid w:val="002518E8"/>
    <w:rsid w:val="00251C10"/>
    <w:rsid w:val="002523AA"/>
    <w:rsid w:val="0025247E"/>
    <w:rsid w:val="00252557"/>
    <w:rsid w:val="00252703"/>
    <w:rsid w:val="00252987"/>
    <w:rsid w:val="00252E1E"/>
    <w:rsid w:val="0025325E"/>
    <w:rsid w:val="00253323"/>
    <w:rsid w:val="00253650"/>
    <w:rsid w:val="002538BA"/>
    <w:rsid w:val="00253ADB"/>
    <w:rsid w:val="00253F79"/>
    <w:rsid w:val="002540B0"/>
    <w:rsid w:val="00254190"/>
    <w:rsid w:val="0025469D"/>
    <w:rsid w:val="002547FD"/>
    <w:rsid w:val="002549BF"/>
    <w:rsid w:val="00254DF6"/>
    <w:rsid w:val="00255101"/>
    <w:rsid w:val="0025510C"/>
    <w:rsid w:val="002552B1"/>
    <w:rsid w:val="002552BD"/>
    <w:rsid w:val="002554FE"/>
    <w:rsid w:val="00255C02"/>
    <w:rsid w:val="00255D01"/>
    <w:rsid w:val="00256A0B"/>
    <w:rsid w:val="00256C5F"/>
    <w:rsid w:val="00256E55"/>
    <w:rsid w:val="00257164"/>
    <w:rsid w:val="00257E0E"/>
    <w:rsid w:val="00257FF4"/>
    <w:rsid w:val="00260FCB"/>
    <w:rsid w:val="0026125B"/>
    <w:rsid w:val="002615F5"/>
    <w:rsid w:val="002616B9"/>
    <w:rsid w:val="00261B14"/>
    <w:rsid w:val="0026217B"/>
    <w:rsid w:val="002624B4"/>
    <w:rsid w:val="002624C0"/>
    <w:rsid w:val="00262835"/>
    <w:rsid w:val="002629E4"/>
    <w:rsid w:val="00263527"/>
    <w:rsid w:val="00263BF4"/>
    <w:rsid w:val="00263FE3"/>
    <w:rsid w:val="00264A54"/>
    <w:rsid w:val="00264C74"/>
    <w:rsid w:val="00265265"/>
    <w:rsid w:val="002652EC"/>
    <w:rsid w:val="00265593"/>
    <w:rsid w:val="002657B2"/>
    <w:rsid w:val="00265BA5"/>
    <w:rsid w:val="00265EA2"/>
    <w:rsid w:val="00265F40"/>
    <w:rsid w:val="002663E3"/>
    <w:rsid w:val="00266401"/>
    <w:rsid w:val="00266497"/>
    <w:rsid w:val="00266557"/>
    <w:rsid w:val="0026658A"/>
    <w:rsid w:val="00267231"/>
    <w:rsid w:val="002675EA"/>
    <w:rsid w:val="002677D8"/>
    <w:rsid w:val="00267BC5"/>
    <w:rsid w:val="00267C39"/>
    <w:rsid w:val="00267CBE"/>
    <w:rsid w:val="00267E0B"/>
    <w:rsid w:val="00270680"/>
    <w:rsid w:val="00270751"/>
    <w:rsid w:val="00270E2E"/>
    <w:rsid w:val="002710FC"/>
    <w:rsid w:val="00271103"/>
    <w:rsid w:val="002712CC"/>
    <w:rsid w:val="002718C8"/>
    <w:rsid w:val="00271D5A"/>
    <w:rsid w:val="002721FA"/>
    <w:rsid w:val="0027230C"/>
    <w:rsid w:val="0027256D"/>
    <w:rsid w:val="002726E1"/>
    <w:rsid w:val="00272B99"/>
    <w:rsid w:val="00273032"/>
    <w:rsid w:val="00273220"/>
    <w:rsid w:val="0027380D"/>
    <w:rsid w:val="002739BF"/>
    <w:rsid w:val="00273A6F"/>
    <w:rsid w:val="00274513"/>
    <w:rsid w:val="0027468E"/>
    <w:rsid w:val="00274826"/>
    <w:rsid w:val="00275005"/>
    <w:rsid w:val="0027501C"/>
    <w:rsid w:val="00275066"/>
    <w:rsid w:val="002750E3"/>
    <w:rsid w:val="002752AB"/>
    <w:rsid w:val="00275528"/>
    <w:rsid w:val="002756D6"/>
    <w:rsid w:val="0027573C"/>
    <w:rsid w:val="00275753"/>
    <w:rsid w:val="0027594E"/>
    <w:rsid w:val="00275AC5"/>
    <w:rsid w:val="00275DA7"/>
    <w:rsid w:val="00276926"/>
    <w:rsid w:val="00276AB7"/>
    <w:rsid w:val="00276D23"/>
    <w:rsid w:val="00277C79"/>
    <w:rsid w:val="0028004C"/>
    <w:rsid w:val="002801BF"/>
    <w:rsid w:val="00280843"/>
    <w:rsid w:val="00280E87"/>
    <w:rsid w:val="002815D0"/>
    <w:rsid w:val="00281BDB"/>
    <w:rsid w:val="002820A7"/>
    <w:rsid w:val="00282369"/>
    <w:rsid w:val="002823BF"/>
    <w:rsid w:val="002824A5"/>
    <w:rsid w:val="0028279F"/>
    <w:rsid w:val="00282B45"/>
    <w:rsid w:val="00283A20"/>
    <w:rsid w:val="00283B82"/>
    <w:rsid w:val="00283E13"/>
    <w:rsid w:val="00283EA3"/>
    <w:rsid w:val="00283EA5"/>
    <w:rsid w:val="00283FBE"/>
    <w:rsid w:val="002845C1"/>
    <w:rsid w:val="00284C1E"/>
    <w:rsid w:val="00284D3D"/>
    <w:rsid w:val="0028501B"/>
    <w:rsid w:val="00285819"/>
    <w:rsid w:val="0028581C"/>
    <w:rsid w:val="00285871"/>
    <w:rsid w:val="0028598B"/>
    <w:rsid w:val="00286478"/>
    <w:rsid w:val="002875FB"/>
    <w:rsid w:val="002876C9"/>
    <w:rsid w:val="00287C25"/>
    <w:rsid w:val="00287DF8"/>
    <w:rsid w:val="00287E89"/>
    <w:rsid w:val="00287EDD"/>
    <w:rsid w:val="00287F31"/>
    <w:rsid w:val="0029069C"/>
    <w:rsid w:val="00290A1E"/>
    <w:rsid w:val="0029141B"/>
    <w:rsid w:val="002914ED"/>
    <w:rsid w:val="002927D3"/>
    <w:rsid w:val="00292BA8"/>
    <w:rsid w:val="00292E37"/>
    <w:rsid w:val="0029368A"/>
    <w:rsid w:val="00293D73"/>
    <w:rsid w:val="00294BDE"/>
    <w:rsid w:val="00294F1F"/>
    <w:rsid w:val="0029506B"/>
    <w:rsid w:val="002954A7"/>
    <w:rsid w:val="00295DB6"/>
    <w:rsid w:val="002960AE"/>
    <w:rsid w:val="002965DA"/>
    <w:rsid w:val="00296C32"/>
    <w:rsid w:val="00296DC7"/>
    <w:rsid w:val="0029704F"/>
    <w:rsid w:val="0029788B"/>
    <w:rsid w:val="00297D1B"/>
    <w:rsid w:val="00297F4D"/>
    <w:rsid w:val="002A0226"/>
    <w:rsid w:val="002A02F8"/>
    <w:rsid w:val="002A0661"/>
    <w:rsid w:val="002A0A48"/>
    <w:rsid w:val="002A0AD4"/>
    <w:rsid w:val="002A0B8B"/>
    <w:rsid w:val="002A1260"/>
    <w:rsid w:val="002A1A9F"/>
    <w:rsid w:val="002A1CF2"/>
    <w:rsid w:val="002A1FE7"/>
    <w:rsid w:val="002A230C"/>
    <w:rsid w:val="002A2BC2"/>
    <w:rsid w:val="002A2CEF"/>
    <w:rsid w:val="002A2D14"/>
    <w:rsid w:val="002A2ED0"/>
    <w:rsid w:val="002A345B"/>
    <w:rsid w:val="002A352C"/>
    <w:rsid w:val="002A3A84"/>
    <w:rsid w:val="002A4C3E"/>
    <w:rsid w:val="002A53B1"/>
    <w:rsid w:val="002A5660"/>
    <w:rsid w:val="002A56BC"/>
    <w:rsid w:val="002A5BA2"/>
    <w:rsid w:val="002A5C53"/>
    <w:rsid w:val="002A5DD7"/>
    <w:rsid w:val="002A6049"/>
    <w:rsid w:val="002A6AD6"/>
    <w:rsid w:val="002A6D7C"/>
    <w:rsid w:val="002A70AB"/>
    <w:rsid w:val="002A72CC"/>
    <w:rsid w:val="002A730F"/>
    <w:rsid w:val="002A76AB"/>
    <w:rsid w:val="002A76E6"/>
    <w:rsid w:val="002A7836"/>
    <w:rsid w:val="002A7A4F"/>
    <w:rsid w:val="002A7AFE"/>
    <w:rsid w:val="002B01DB"/>
    <w:rsid w:val="002B0429"/>
    <w:rsid w:val="002B044A"/>
    <w:rsid w:val="002B045F"/>
    <w:rsid w:val="002B0693"/>
    <w:rsid w:val="002B09C0"/>
    <w:rsid w:val="002B0D44"/>
    <w:rsid w:val="002B1024"/>
    <w:rsid w:val="002B13B3"/>
    <w:rsid w:val="002B148D"/>
    <w:rsid w:val="002B183D"/>
    <w:rsid w:val="002B1A56"/>
    <w:rsid w:val="002B1AE1"/>
    <w:rsid w:val="002B1DBF"/>
    <w:rsid w:val="002B1DD6"/>
    <w:rsid w:val="002B1E12"/>
    <w:rsid w:val="002B207F"/>
    <w:rsid w:val="002B2A48"/>
    <w:rsid w:val="002B2BEE"/>
    <w:rsid w:val="002B2F5B"/>
    <w:rsid w:val="002B31AD"/>
    <w:rsid w:val="002B3A2D"/>
    <w:rsid w:val="002B3EA7"/>
    <w:rsid w:val="002B4188"/>
    <w:rsid w:val="002B429F"/>
    <w:rsid w:val="002B450C"/>
    <w:rsid w:val="002B4757"/>
    <w:rsid w:val="002B4BAE"/>
    <w:rsid w:val="002B538B"/>
    <w:rsid w:val="002B543E"/>
    <w:rsid w:val="002B581B"/>
    <w:rsid w:val="002B5AE4"/>
    <w:rsid w:val="002B6082"/>
    <w:rsid w:val="002B60D2"/>
    <w:rsid w:val="002B7469"/>
    <w:rsid w:val="002B768A"/>
    <w:rsid w:val="002B7D30"/>
    <w:rsid w:val="002C00D8"/>
    <w:rsid w:val="002C026E"/>
    <w:rsid w:val="002C0681"/>
    <w:rsid w:val="002C0754"/>
    <w:rsid w:val="002C11B2"/>
    <w:rsid w:val="002C1BE7"/>
    <w:rsid w:val="002C22A8"/>
    <w:rsid w:val="002C27E8"/>
    <w:rsid w:val="002C2892"/>
    <w:rsid w:val="002C2CE2"/>
    <w:rsid w:val="002C2ED3"/>
    <w:rsid w:val="002C32DF"/>
    <w:rsid w:val="002C33F1"/>
    <w:rsid w:val="002C4933"/>
    <w:rsid w:val="002C49CD"/>
    <w:rsid w:val="002C4DAE"/>
    <w:rsid w:val="002C5004"/>
    <w:rsid w:val="002C58AB"/>
    <w:rsid w:val="002C5E26"/>
    <w:rsid w:val="002C6133"/>
    <w:rsid w:val="002C6541"/>
    <w:rsid w:val="002C6B3D"/>
    <w:rsid w:val="002C6D1C"/>
    <w:rsid w:val="002C6D84"/>
    <w:rsid w:val="002C7BF4"/>
    <w:rsid w:val="002C7D21"/>
    <w:rsid w:val="002D0002"/>
    <w:rsid w:val="002D0C26"/>
    <w:rsid w:val="002D1564"/>
    <w:rsid w:val="002D17A4"/>
    <w:rsid w:val="002D1CA4"/>
    <w:rsid w:val="002D1FEC"/>
    <w:rsid w:val="002D25CC"/>
    <w:rsid w:val="002D2C09"/>
    <w:rsid w:val="002D2C45"/>
    <w:rsid w:val="002D308A"/>
    <w:rsid w:val="002D3848"/>
    <w:rsid w:val="002D3D12"/>
    <w:rsid w:val="002D410A"/>
    <w:rsid w:val="002D4969"/>
    <w:rsid w:val="002D4EE1"/>
    <w:rsid w:val="002D4F49"/>
    <w:rsid w:val="002D56C8"/>
    <w:rsid w:val="002D5AD9"/>
    <w:rsid w:val="002D62FD"/>
    <w:rsid w:val="002D6FC0"/>
    <w:rsid w:val="002D6FCF"/>
    <w:rsid w:val="002D710C"/>
    <w:rsid w:val="002D734C"/>
    <w:rsid w:val="002D73CE"/>
    <w:rsid w:val="002D7423"/>
    <w:rsid w:val="002D75AA"/>
    <w:rsid w:val="002D778E"/>
    <w:rsid w:val="002D7D9F"/>
    <w:rsid w:val="002D7E07"/>
    <w:rsid w:val="002E001E"/>
    <w:rsid w:val="002E04D7"/>
    <w:rsid w:val="002E065E"/>
    <w:rsid w:val="002E06DD"/>
    <w:rsid w:val="002E0757"/>
    <w:rsid w:val="002E0927"/>
    <w:rsid w:val="002E118C"/>
    <w:rsid w:val="002E171A"/>
    <w:rsid w:val="002E211A"/>
    <w:rsid w:val="002E217C"/>
    <w:rsid w:val="002E2A24"/>
    <w:rsid w:val="002E3D66"/>
    <w:rsid w:val="002E3F11"/>
    <w:rsid w:val="002E4B11"/>
    <w:rsid w:val="002E4ED4"/>
    <w:rsid w:val="002E4F70"/>
    <w:rsid w:val="002E5126"/>
    <w:rsid w:val="002E5886"/>
    <w:rsid w:val="002E5AD3"/>
    <w:rsid w:val="002E635D"/>
    <w:rsid w:val="002E6CF5"/>
    <w:rsid w:val="002E6FD6"/>
    <w:rsid w:val="002E7562"/>
    <w:rsid w:val="002E766B"/>
    <w:rsid w:val="002E7F10"/>
    <w:rsid w:val="002E7FDD"/>
    <w:rsid w:val="002F071F"/>
    <w:rsid w:val="002F0AEC"/>
    <w:rsid w:val="002F0B24"/>
    <w:rsid w:val="002F12E6"/>
    <w:rsid w:val="002F140E"/>
    <w:rsid w:val="002F14F8"/>
    <w:rsid w:val="002F16D5"/>
    <w:rsid w:val="002F1A90"/>
    <w:rsid w:val="002F1C2F"/>
    <w:rsid w:val="002F23DB"/>
    <w:rsid w:val="002F2751"/>
    <w:rsid w:val="002F3461"/>
    <w:rsid w:val="002F3D1C"/>
    <w:rsid w:val="002F48D2"/>
    <w:rsid w:val="002F4B0E"/>
    <w:rsid w:val="002F4EA1"/>
    <w:rsid w:val="002F52DE"/>
    <w:rsid w:val="002F55C1"/>
    <w:rsid w:val="002F5E95"/>
    <w:rsid w:val="002F5FD0"/>
    <w:rsid w:val="002F63EE"/>
    <w:rsid w:val="002F6685"/>
    <w:rsid w:val="002F681D"/>
    <w:rsid w:val="002F6904"/>
    <w:rsid w:val="002F6955"/>
    <w:rsid w:val="002F6D54"/>
    <w:rsid w:val="002F71F5"/>
    <w:rsid w:val="002F797A"/>
    <w:rsid w:val="002F7994"/>
    <w:rsid w:val="002F7E22"/>
    <w:rsid w:val="002F7FB9"/>
    <w:rsid w:val="00300424"/>
    <w:rsid w:val="00300483"/>
    <w:rsid w:val="0030093A"/>
    <w:rsid w:val="00300E93"/>
    <w:rsid w:val="00300F85"/>
    <w:rsid w:val="003016A7"/>
    <w:rsid w:val="00301755"/>
    <w:rsid w:val="00301C91"/>
    <w:rsid w:val="00301D87"/>
    <w:rsid w:val="003022B1"/>
    <w:rsid w:val="0030276A"/>
    <w:rsid w:val="00302A42"/>
    <w:rsid w:val="00303085"/>
    <w:rsid w:val="003031A9"/>
    <w:rsid w:val="003036F9"/>
    <w:rsid w:val="00303AE3"/>
    <w:rsid w:val="00303B76"/>
    <w:rsid w:val="00303F2B"/>
    <w:rsid w:val="00304607"/>
    <w:rsid w:val="0030467A"/>
    <w:rsid w:val="00304B44"/>
    <w:rsid w:val="00304C64"/>
    <w:rsid w:val="00304D4E"/>
    <w:rsid w:val="00304FFD"/>
    <w:rsid w:val="0030541F"/>
    <w:rsid w:val="00305608"/>
    <w:rsid w:val="00305B72"/>
    <w:rsid w:val="00305D39"/>
    <w:rsid w:val="0030610A"/>
    <w:rsid w:val="00306627"/>
    <w:rsid w:val="003069DD"/>
    <w:rsid w:val="00306B16"/>
    <w:rsid w:val="00306BFF"/>
    <w:rsid w:val="00306CAB"/>
    <w:rsid w:val="00310422"/>
    <w:rsid w:val="00310DF7"/>
    <w:rsid w:val="00310E2D"/>
    <w:rsid w:val="0031146F"/>
    <w:rsid w:val="00311795"/>
    <w:rsid w:val="003117B1"/>
    <w:rsid w:val="003118F8"/>
    <w:rsid w:val="00311B70"/>
    <w:rsid w:val="00311C10"/>
    <w:rsid w:val="00311CBE"/>
    <w:rsid w:val="00312280"/>
    <w:rsid w:val="00312705"/>
    <w:rsid w:val="00312B3A"/>
    <w:rsid w:val="00312B5E"/>
    <w:rsid w:val="00312BF6"/>
    <w:rsid w:val="00312CD0"/>
    <w:rsid w:val="00312E85"/>
    <w:rsid w:val="003130AE"/>
    <w:rsid w:val="0031371B"/>
    <w:rsid w:val="003143E3"/>
    <w:rsid w:val="0031449F"/>
    <w:rsid w:val="003145A5"/>
    <w:rsid w:val="003145BD"/>
    <w:rsid w:val="00314610"/>
    <w:rsid w:val="003148B9"/>
    <w:rsid w:val="00314A2E"/>
    <w:rsid w:val="00314A86"/>
    <w:rsid w:val="00314BBC"/>
    <w:rsid w:val="00314BE1"/>
    <w:rsid w:val="00315085"/>
    <w:rsid w:val="00315224"/>
    <w:rsid w:val="00315266"/>
    <w:rsid w:val="00315499"/>
    <w:rsid w:val="00316465"/>
    <w:rsid w:val="00316530"/>
    <w:rsid w:val="00316616"/>
    <w:rsid w:val="0031678A"/>
    <w:rsid w:val="0031693B"/>
    <w:rsid w:val="003169B6"/>
    <w:rsid w:val="003169CE"/>
    <w:rsid w:val="00316C54"/>
    <w:rsid w:val="00316F0A"/>
    <w:rsid w:val="003170D2"/>
    <w:rsid w:val="003170E9"/>
    <w:rsid w:val="00317A29"/>
    <w:rsid w:val="00317DC7"/>
    <w:rsid w:val="003200F9"/>
    <w:rsid w:val="00320E31"/>
    <w:rsid w:val="00320F38"/>
    <w:rsid w:val="00321183"/>
    <w:rsid w:val="00321694"/>
    <w:rsid w:val="00321F0A"/>
    <w:rsid w:val="00322172"/>
    <w:rsid w:val="0032232A"/>
    <w:rsid w:val="003223CE"/>
    <w:rsid w:val="003223E9"/>
    <w:rsid w:val="0032244D"/>
    <w:rsid w:val="003225FB"/>
    <w:rsid w:val="00322A2D"/>
    <w:rsid w:val="00322E80"/>
    <w:rsid w:val="00323337"/>
    <w:rsid w:val="00323732"/>
    <w:rsid w:val="00323862"/>
    <w:rsid w:val="00323C2C"/>
    <w:rsid w:val="00323E10"/>
    <w:rsid w:val="0032424A"/>
    <w:rsid w:val="003243AB"/>
    <w:rsid w:val="003246A9"/>
    <w:rsid w:val="00324D5B"/>
    <w:rsid w:val="00324DBD"/>
    <w:rsid w:val="00324E07"/>
    <w:rsid w:val="00324E83"/>
    <w:rsid w:val="00324F5B"/>
    <w:rsid w:val="00325045"/>
    <w:rsid w:val="003255A7"/>
    <w:rsid w:val="00325735"/>
    <w:rsid w:val="00325D91"/>
    <w:rsid w:val="003267B4"/>
    <w:rsid w:val="00326C1A"/>
    <w:rsid w:val="00326CA6"/>
    <w:rsid w:val="00326D4B"/>
    <w:rsid w:val="00327DC4"/>
    <w:rsid w:val="00327DDC"/>
    <w:rsid w:val="00327EC8"/>
    <w:rsid w:val="003307D8"/>
    <w:rsid w:val="00331193"/>
    <w:rsid w:val="003314B1"/>
    <w:rsid w:val="00331637"/>
    <w:rsid w:val="00331A4C"/>
    <w:rsid w:val="00331DA9"/>
    <w:rsid w:val="00331F34"/>
    <w:rsid w:val="00331F4D"/>
    <w:rsid w:val="003328C3"/>
    <w:rsid w:val="00332A1E"/>
    <w:rsid w:val="00332D50"/>
    <w:rsid w:val="00333013"/>
    <w:rsid w:val="003333D4"/>
    <w:rsid w:val="00333566"/>
    <w:rsid w:val="00333B1F"/>
    <w:rsid w:val="00333F32"/>
    <w:rsid w:val="003344AD"/>
    <w:rsid w:val="00334951"/>
    <w:rsid w:val="003350C7"/>
    <w:rsid w:val="003354A8"/>
    <w:rsid w:val="00335E33"/>
    <w:rsid w:val="00336051"/>
    <w:rsid w:val="003363D8"/>
    <w:rsid w:val="00336411"/>
    <w:rsid w:val="0033678D"/>
    <w:rsid w:val="00336C1B"/>
    <w:rsid w:val="00336FA4"/>
    <w:rsid w:val="0033720D"/>
    <w:rsid w:val="003373E8"/>
    <w:rsid w:val="00337FAC"/>
    <w:rsid w:val="00340A7C"/>
    <w:rsid w:val="00340CC1"/>
    <w:rsid w:val="00341229"/>
    <w:rsid w:val="003412FB"/>
    <w:rsid w:val="00341A17"/>
    <w:rsid w:val="00341D3F"/>
    <w:rsid w:val="00341E09"/>
    <w:rsid w:val="00342102"/>
    <w:rsid w:val="0034286E"/>
    <w:rsid w:val="003429DA"/>
    <w:rsid w:val="00342BBB"/>
    <w:rsid w:val="00342C7B"/>
    <w:rsid w:val="003430A6"/>
    <w:rsid w:val="003430BC"/>
    <w:rsid w:val="0034310F"/>
    <w:rsid w:val="00343262"/>
    <w:rsid w:val="003435C0"/>
    <w:rsid w:val="00343A79"/>
    <w:rsid w:val="00344112"/>
    <w:rsid w:val="0034428A"/>
    <w:rsid w:val="003443DD"/>
    <w:rsid w:val="00344D5A"/>
    <w:rsid w:val="00344EBE"/>
    <w:rsid w:val="00344FF4"/>
    <w:rsid w:val="00345238"/>
    <w:rsid w:val="0034567E"/>
    <w:rsid w:val="00345E4A"/>
    <w:rsid w:val="00346EB6"/>
    <w:rsid w:val="00346FDB"/>
    <w:rsid w:val="00347356"/>
    <w:rsid w:val="00347861"/>
    <w:rsid w:val="00347EDB"/>
    <w:rsid w:val="00347F82"/>
    <w:rsid w:val="00350187"/>
    <w:rsid w:val="00350393"/>
    <w:rsid w:val="003504AF"/>
    <w:rsid w:val="00350797"/>
    <w:rsid w:val="00351318"/>
    <w:rsid w:val="003515A0"/>
    <w:rsid w:val="00351A85"/>
    <w:rsid w:val="003522E8"/>
    <w:rsid w:val="00352386"/>
    <w:rsid w:val="0035273D"/>
    <w:rsid w:val="00352829"/>
    <w:rsid w:val="00352900"/>
    <w:rsid w:val="003531B4"/>
    <w:rsid w:val="003531D7"/>
    <w:rsid w:val="003533A2"/>
    <w:rsid w:val="003538F7"/>
    <w:rsid w:val="00353989"/>
    <w:rsid w:val="003539AE"/>
    <w:rsid w:val="003546E6"/>
    <w:rsid w:val="00354A1F"/>
    <w:rsid w:val="00354CEB"/>
    <w:rsid w:val="00354CFA"/>
    <w:rsid w:val="00354E6F"/>
    <w:rsid w:val="00354FDC"/>
    <w:rsid w:val="00355966"/>
    <w:rsid w:val="00355990"/>
    <w:rsid w:val="00355B7A"/>
    <w:rsid w:val="0035612E"/>
    <w:rsid w:val="0035617C"/>
    <w:rsid w:val="003561F1"/>
    <w:rsid w:val="003564D1"/>
    <w:rsid w:val="00356E7E"/>
    <w:rsid w:val="00356EB8"/>
    <w:rsid w:val="00356FE4"/>
    <w:rsid w:val="00357498"/>
    <w:rsid w:val="0035783A"/>
    <w:rsid w:val="00357B83"/>
    <w:rsid w:val="00357D82"/>
    <w:rsid w:val="00357DF2"/>
    <w:rsid w:val="003603AC"/>
    <w:rsid w:val="00360461"/>
    <w:rsid w:val="0036059C"/>
    <w:rsid w:val="00361158"/>
    <w:rsid w:val="003611F5"/>
    <w:rsid w:val="003614A8"/>
    <w:rsid w:val="0036160E"/>
    <w:rsid w:val="003617C3"/>
    <w:rsid w:val="00361935"/>
    <w:rsid w:val="00361C63"/>
    <w:rsid w:val="00362330"/>
    <w:rsid w:val="00362610"/>
    <w:rsid w:val="003627AE"/>
    <w:rsid w:val="00362CFE"/>
    <w:rsid w:val="0036342D"/>
    <w:rsid w:val="003637BE"/>
    <w:rsid w:val="00363830"/>
    <w:rsid w:val="00363CD0"/>
    <w:rsid w:val="00363D2D"/>
    <w:rsid w:val="00363D7E"/>
    <w:rsid w:val="00363F82"/>
    <w:rsid w:val="003643EE"/>
    <w:rsid w:val="0036485B"/>
    <w:rsid w:val="00364BB6"/>
    <w:rsid w:val="00364C9E"/>
    <w:rsid w:val="00364D6B"/>
    <w:rsid w:val="00365408"/>
    <w:rsid w:val="00365C6C"/>
    <w:rsid w:val="00365CC0"/>
    <w:rsid w:val="0036643A"/>
    <w:rsid w:val="003668DF"/>
    <w:rsid w:val="00366D25"/>
    <w:rsid w:val="00366EA8"/>
    <w:rsid w:val="00367688"/>
    <w:rsid w:val="003704E8"/>
    <w:rsid w:val="003707E3"/>
    <w:rsid w:val="00370850"/>
    <w:rsid w:val="00370C9B"/>
    <w:rsid w:val="00371740"/>
    <w:rsid w:val="0037176E"/>
    <w:rsid w:val="00371A8E"/>
    <w:rsid w:val="00371E12"/>
    <w:rsid w:val="00371FEF"/>
    <w:rsid w:val="00372221"/>
    <w:rsid w:val="00372CC4"/>
    <w:rsid w:val="00372CF2"/>
    <w:rsid w:val="00372CF4"/>
    <w:rsid w:val="00372F1F"/>
    <w:rsid w:val="00373115"/>
    <w:rsid w:val="003735E4"/>
    <w:rsid w:val="00373736"/>
    <w:rsid w:val="0037448D"/>
    <w:rsid w:val="00374634"/>
    <w:rsid w:val="00374C7E"/>
    <w:rsid w:val="00374CFA"/>
    <w:rsid w:val="003751D5"/>
    <w:rsid w:val="00375301"/>
    <w:rsid w:val="00375457"/>
    <w:rsid w:val="003760A9"/>
    <w:rsid w:val="0037646F"/>
    <w:rsid w:val="0037664B"/>
    <w:rsid w:val="00376A9B"/>
    <w:rsid w:val="00377150"/>
    <w:rsid w:val="00377353"/>
    <w:rsid w:val="0037736B"/>
    <w:rsid w:val="00377D28"/>
    <w:rsid w:val="003803B2"/>
    <w:rsid w:val="0038183C"/>
    <w:rsid w:val="00381900"/>
    <w:rsid w:val="00381F57"/>
    <w:rsid w:val="00382136"/>
    <w:rsid w:val="0038216E"/>
    <w:rsid w:val="003822E5"/>
    <w:rsid w:val="00382554"/>
    <w:rsid w:val="0038269D"/>
    <w:rsid w:val="0038293E"/>
    <w:rsid w:val="003830B8"/>
    <w:rsid w:val="00383262"/>
    <w:rsid w:val="0038345F"/>
    <w:rsid w:val="003839F5"/>
    <w:rsid w:val="00383AE0"/>
    <w:rsid w:val="00384135"/>
    <w:rsid w:val="0038443F"/>
    <w:rsid w:val="00384B38"/>
    <w:rsid w:val="003867B2"/>
    <w:rsid w:val="00386902"/>
    <w:rsid w:val="00386A11"/>
    <w:rsid w:val="00386CA8"/>
    <w:rsid w:val="00387187"/>
    <w:rsid w:val="00387477"/>
    <w:rsid w:val="00387501"/>
    <w:rsid w:val="0038750A"/>
    <w:rsid w:val="00387B98"/>
    <w:rsid w:val="00387BE6"/>
    <w:rsid w:val="00390396"/>
    <w:rsid w:val="003907B4"/>
    <w:rsid w:val="00390FE7"/>
    <w:rsid w:val="0039116E"/>
    <w:rsid w:val="003911C4"/>
    <w:rsid w:val="00391B98"/>
    <w:rsid w:val="00391ECA"/>
    <w:rsid w:val="00392AD2"/>
    <w:rsid w:val="00392D60"/>
    <w:rsid w:val="00392FD2"/>
    <w:rsid w:val="0039330D"/>
    <w:rsid w:val="003934A0"/>
    <w:rsid w:val="00393859"/>
    <w:rsid w:val="00393CE2"/>
    <w:rsid w:val="00393CED"/>
    <w:rsid w:val="00394261"/>
    <w:rsid w:val="003942B9"/>
    <w:rsid w:val="00394A06"/>
    <w:rsid w:val="00394A27"/>
    <w:rsid w:val="00394A3B"/>
    <w:rsid w:val="00394B01"/>
    <w:rsid w:val="003950EB"/>
    <w:rsid w:val="00396E3B"/>
    <w:rsid w:val="00397677"/>
    <w:rsid w:val="003A05B5"/>
    <w:rsid w:val="003A07A1"/>
    <w:rsid w:val="003A09AA"/>
    <w:rsid w:val="003A0ACC"/>
    <w:rsid w:val="003A10A2"/>
    <w:rsid w:val="003A157A"/>
    <w:rsid w:val="003A2042"/>
    <w:rsid w:val="003A2118"/>
    <w:rsid w:val="003A214F"/>
    <w:rsid w:val="003A24EB"/>
    <w:rsid w:val="003A2654"/>
    <w:rsid w:val="003A283F"/>
    <w:rsid w:val="003A2A16"/>
    <w:rsid w:val="003A2FDD"/>
    <w:rsid w:val="003A3C43"/>
    <w:rsid w:val="003A3EFA"/>
    <w:rsid w:val="003A43F8"/>
    <w:rsid w:val="003A4DB8"/>
    <w:rsid w:val="003A5CCC"/>
    <w:rsid w:val="003A632A"/>
    <w:rsid w:val="003A6C65"/>
    <w:rsid w:val="003A6E70"/>
    <w:rsid w:val="003A70FF"/>
    <w:rsid w:val="003A74D2"/>
    <w:rsid w:val="003A756B"/>
    <w:rsid w:val="003A7902"/>
    <w:rsid w:val="003A7BD8"/>
    <w:rsid w:val="003A7E43"/>
    <w:rsid w:val="003B018E"/>
    <w:rsid w:val="003B03D2"/>
    <w:rsid w:val="003B0498"/>
    <w:rsid w:val="003B072B"/>
    <w:rsid w:val="003B1618"/>
    <w:rsid w:val="003B1983"/>
    <w:rsid w:val="003B1BED"/>
    <w:rsid w:val="003B1C65"/>
    <w:rsid w:val="003B1F15"/>
    <w:rsid w:val="003B23D7"/>
    <w:rsid w:val="003B3185"/>
    <w:rsid w:val="003B34CB"/>
    <w:rsid w:val="003B3AB4"/>
    <w:rsid w:val="003B3B66"/>
    <w:rsid w:val="003B3CA8"/>
    <w:rsid w:val="003B4561"/>
    <w:rsid w:val="003B45D5"/>
    <w:rsid w:val="003B46D7"/>
    <w:rsid w:val="003B48F4"/>
    <w:rsid w:val="003B4B72"/>
    <w:rsid w:val="003B4F5A"/>
    <w:rsid w:val="003B503B"/>
    <w:rsid w:val="003B52FE"/>
    <w:rsid w:val="003B5372"/>
    <w:rsid w:val="003B572A"/>
    <w:rsid w:val="003B591D"/>
    <w:rsid w:val="003B5D1E"/>
    <w:rsid w:val="003B6022"/>
    <w:rsid w:val="003B6090"/>
    <w:rsid w:val="003B6325"/>
    <w:rsid w:val="003B65ED"/>
    <w:rsid w:val="003B6A6C"/>
    <w:rsid w:val="003B71E0"/>
    <w:rsid w:val="003B7221"/>
    <w:rsid w:val="003B72EB"/>
    <w:rsid w:val="003B78A4"/>
    <w:rsid w:val="003B7B12"/>
    <w:rsid w:val="003C0432"/>
    <w:rsid w:val="003C0545"/>
    <w:rsid w:val="003C07AB"/>
    <w:rsid w:val="003C0DD6"/>
    <w:rsid w:val="003C144E"/>
    <w:rsid w:val="003C1A07"/>
    <w:rsid w:val="003C1E74"/>
    <w:rsid w:val="003C1E83"/>
    <w:rsid w:val="003C20A2"/>
    <w:rsid w:val="003C220D"/>
    <w:rsid w:val="003C2673"/>
    <w:rsid w:val="003C27A2"/>
    <w:rsid w:val="003C3083"/>
    <w:rsid w:val="003C33DC"/>
    <w:rsid w:val="003C3838"/>
    <w:rsid w:val="003C387E"/>
    <w:rsid w:val="003C3BB2"/>
    <w:rsid w:val="003C3D34"/>
    <w:rsid w:val="003C477D"/>
    <w:rsid w:val="003C4A05"/>
    <w:rsid w:val="003C4DDE"/>
    <w:rsid w:val="003C5247"/>
    <w:rsid w:val="003C542B"/>
    <w:rsid w:val="003C567C"/>
    <w:rsid w:val="003C59B8"/>
    <w:rsid w:val="003C60D8"/>
    <w:rsid w:val="003C63F6"/>
    <w:rsid w:val="003C6809"/>
    <w:rsid w:val="003C6892"/>
    <w:rsid w:val="003C6C86"/>
    <w:rsid w:val="003C704D"/>
    <w:rsid w:val="003C715D"/>
    <w:rsid w:val="003C72EF"/>
    <w:rsid w:val="003C7684"/>
    <w:rsid w:val="003C7897"/>
    <w:rsid w:val="003D0937"/>
    <w:rsid w:val="003D0A48"/>
    <w:rsid w:val="003D1664"/>
    <w:rsid w:val="003D16C6"/>
    <w:rsid w:val="003D17E6"/>
    <w:rsid w:val="003D1A20"/>
    <w:rsid w:val="003D1AC9"/>
    <w:rsid w:val="003D1CE1"/>
    <w:rsid w:val="003D221B"/>
    <w:rsid w:val="003D2784"/>
    <w:rsid w:val="003D2AC9"/>
    <w:rsid w:val="003D2CD8"/>
    <w:rsid w:val="003D2F32"/>
    <w:rsid w:val="003D3724"/>
    <w:rsid w:val="003D3D1E"/>
    <w:rsid w:val="003D445D"/>
    <w:rsid w:val="003D46A7"/>
    <w:rsid w:val="003D46F9"/>
    <w:rsid w:val="003D4D68"/>
    <w:rsid w:val="003D4E1A"/>
    <w:rsid w:val="003D53E4"/>
    <w:rsid w:val="003D5A22"/>
    <w:rsid w:val="003D6376"/>
    <w:rsid w:val="003D6B9A"/>
    <w:rsid w:val="003D6EE0"/>
    <w:rsid w:val="003D716F"/>
    <w:rsid w:val="003D7761"/>
    <w:rsid w:val="003E08CC"/>
    <w:rsid w:val="003E0C4C"/>
    <w:rsid w:val="003E0F2D"/>
    <w:rsid w:val="003E0F59"/>
    <w:rsid w:val="003E1235"/>
    <w:rsid w:val="003E12A6"/>
    <w:rsid w:val="003E23C9"/>
    <w:rsid w:val="003E2A35"/>
    <w:rsid w:val="003E2B56"/>
    <w:rsid w:val="003E2CE1"/>
    <w:rsid w:val="003E2DCB"/>
    <w:rsid w:val="003E34A7"/>
    <w:rsid w:val="003E3FE6"/>
    <w:rsid w:val="003E41D5"/>
    <w:rsid w:val="003E4C3F"/>
    <w:rsid w:val="003E4D7C"/>
    <w:rsid w:val="003E4DE8"/>
    <w:rsid w:val="003E5890"/>
    <w:rsid w:val="003E5FA8"/>
    <w:rsid w:val="003E6252"/>
    <w:rsid w:val="003E72A5"/>
    <w:rsid w:val="003E72CB"/>
    <w:rsid w:val="003E767D"/>
    <w:rsid w:val="003E78DF"/>
    <w:rsid w:val="003F0397"/>
    <w:rsid w:val="003F0BF4"/>
    <w:rsid w:val="003F0C34"/>
    <w:rsid w:val="003F0D20"/>
    <w:rsid w:val="003F0F7B"/>
    <w:rsid w:val="003F1200"/>
    <w:rsid w:val="003F1421"/>
    <w:rsid w:val="003F1844"/>
    <w:rsid w:val="003F1C3C"/>
    <w:rsid w:val="003F1F71"/>
    <w:rsid w:val="003F241E"/>
    <w:rsid w:val="003F2447"/>
    <w:rsid w:val="003F28C0"/>
    <w:rsid w:val="003F2A1E"/>
    <w:rsid w:val="003F2B0B"/>
    <w:rsid w:val="003F379E"/>
    <w:rsid w:val="003F3ED7"/>
    <w:rsid w:val="003F400D"/>
    <w:rsid w:val="003F425A"/>
    <w:rsid w:val="003F4517"/>
    <w:rsid w:val="003F4895"/>
    <w:rsid w:val="003F4A8B"/>
    <w:rsid w:val="003F4A93"/>
    <w:rsid w:val="003F4B0F"/>
    <w:rsid w:val="003F4B80"/>
    <w:rsid w:val="003F4D21"/>
    <w:rsid w:val="003F4E01"/>
    <w:rsid w:val="003F512A"/>
    <w:rsid w:val="003F52B2"/>
    <w:rsid w:val="003F57BC"/>
    <w:rsid w:val="003F6324"/>
    <w:rsid w:val="003F66AA"/>
    <w:rsid w:val="003F6953"/>
    <w:rsid w:val="003F69B4"/>
    <w:rsid w:val="003F6F2D"/>
    <w:rsid w:val="003F70C8"/>
    <w:rsid w:val="003F716E"/>
    <w:rsid w:val="003F720C"/>
    <w:rsid w:val="003F78A3"/>
    <w:rsid w:val="003F79DB"/>
    <w:rsid w:val="003F79E6"/>
    <w:rsid w:val="003F7FCF"/>
    <w:rsid w:val="00400061"/>
    <w:rsid w:val="004002BC"/>
    <w:rsid w:val="0040068A"/>
    <w:rsid w:val="00400813"/>
    <w:rsid w:val="00400DB3"/>
    <w:rsid w:val="004013AD"/>
    <w:rsid w:val="004017BB"/>
    <w:rsid w:val="00401DB3"/>
    <w:rsid w:val="00401E10"/>
    <w:rsid w:val="00402215"/>
    <w:rsid w:val="00402457"/>
    <w:rsid w:val="004025F9"/>
    <w:rsid w:val="00402707"/>
    <w:rsid w:val="00402C35"/>
    <w:rsid w:val="00403891"/>
    <w:rsid w:val="0040405B"/>
    <w:rsid w:val="00404195"/>
    <w:rsid w:val="00404211"/>
    <w:rsid w:val="004042A4"/>
    <w:rsid w:val="00404346"/>
    <w:rsid w:val="004043F3"/>
    <w:rsid w:val="00404A8C"/>
    <w:rsid w:val="00404C62"/>
    <w:rsid w:val="00404DAA"/>
    <w:rsid w:val="00404DDD"/>
    <w:rsid w:val="00404FE6"/>
    <w:rsid w:val="0040500B"/>
    <w:rsid w:val="004052DA"/>
    <w:rsid w:val="0040578B"/>
    <w:rsid w:val="004065D6"/>
    <w:rsid w:val="004066BC"/>
    <w:rsid w:val="0040687D"/>
    <w:rsid w:val="00406D9A"/>
    <w:rsid w:val="00406E08"/>
    <w:rsid w:val="0040709D"/>
    <w:rsid w:val="0040713F"/>
    <w:rsid w:val="004075A3"/>
    <w:rsid w:val="00407F05"/>
    <w:rsid w:val="00410365"/>
    <w:rsid w:val="004108C3"/>
    <w:rsid w:val="0041097E"/>
    <w:rsid w:val="00410C48"/>
    <w:rsid w:val="00411258"/>
    <w:rsid w:val="0041137E"/>
    <w:rsid w:val="0041219E"/>
    <w:rsid w:val="00412238"/>
    <w:rsid w:val="004125ED"/>
    <w:rsid w:val="0041412D"/>
    <w:rsid w:val="004146D3"/>
    <w:rsid w:val="00414725"/>
    <w:rsid w:val="00414759"/>
    <w:rsid w:val="00414E2E"/>
    <w:rsid w:val="004158EE"/>
    <w:rsid w:val="00415901"/>
    <w:rsid w:val="0041591D"/>
    <w:rsid w:val="004160AD"/>
    <w:rsid w:val="00416277"/>
    <w:rsid w:val="004167F5"/>
    <w:rsid w:val="00416AA7"/>
    <w:rsid w:val="00416D5C"/>
    <w:rsid w:val="00416E24"/>
    <w:rsid w:val="00417099"/>
    <w:rsid w:val="00417474"/>
    <w:rsid w:val="00417AB9"/>
    <w:rsid w:val="00417F18"/>
    <w:rsid w:val="004201DE"/>
    <w:rsid w:val="004204D9"/>
    <w:rsid w:val="004205AE"/>
    <w:rsid w:val="0042063D"/>
    <w:rsid w:val="004207A0"/>
    <w:rsid w:val="00420AA8"/>
    <w:rsid w:val="00420D39"/>
    <w:rsid w:val="0042126B"/>
    <w:rsid w:val="004213F4"/>
    <w:rsid w:val="00421726"/>
    <w:rsid w:val="004224E0"/>
    <w:rsid w:val="004228F7"/>
    <w:rsid w:val="00422B23"/>
    <w:rsid w:val="00423072"/>
    <w:rsid w:val="00423417"/>
    <w:rsid w:val="00423440"/>
    <w:rsid w:val="0042364E"/>
    <w:rsid w:val="004237E3"/>
    <w:rsid w:val="00423A60"/>
    <w:rsid w:val="0042456E"/>
    <w:rsid w:val="0042474C"/>
    <w:rsid w:val="00424827"/>
    <w:rsid w:val="0042492A"/>
    <w:rsid w:val="00424D66"/>
    <w:rsid w:val="0042513D"/>
    <w:rsid w:val="00425856"/>
    <w:rsid w:val="00425ACF"/>
    <w:rsid w:val="0042651C"/>
    <w:rsid w:val="00426E9B"/>
    <w:rsid w:val="00427D55"/>
    <w:rsid w:val="00427F13"/>
    <w:rsid w:val="00431754"/>
    <w:rsid w:val="0043233C"/>
    <w:rsid w:val="004324BE"/>
    <w:rsid w:val="004325F3"/>
    <w:rsid w:val="004326CD"/>
    <w:rsid w:val="00432923"/>
    <w:rsid w:val="00432A80"/>
    <w:rsid w:val="004331F9"/>
    <w:rsid w:val="004334F6"/>
    <w:rsid w:val="00433C40"/>
    <w:rsid w:val="00433EEF"/>
    <w:rsid w:val="004341C5"/>
    <w:rsid w:val="004345A6"/>
    <w:rsid w:val="004346AA"/>
    <w:rsid w:val="00434A97"/>
    <w:rsid w:val="00434BA5"/>
    <w:rsid w:val="00434D3A"/>
    <w:rsid w:val="0043506A"/>
    <w:rsid w:val="00435488"/>
    <w:rsid w:val="004355EC"/>
    <w:rsid w:val="004358E0"/>
    <w:rsid w:val="00435B2F"/>
    <w:rsid w:val="00435D1C"/>
    <w:rsid w:val="00435E03"/>
    <w:rsid w:val="00436056"/>
    <w:rsid w:val="004363B7"/>
    <w:rsid w:val="00437372"/>
    <w:rsid w:val="004373E1"/>
    <w:rsid w:val="004374A3"/>
    <w:rsid w:val="004374A7"/>
    <w:rsid w:val="00437A7E"/>
    <w:rsid w:val="00437AC3"/>
    <w:rsid w:val="00437B6C"/>
    <w:rsid w:val="00437BAB"/>
    <w:rsid w:val="00440144"/>
    <w:rsid w:val="0044064E"/>
    <w:rsid w:val="00440805"/>
    <w:rsid w:val="00440984"/>
    <w:rsid w:val="00440C9B"/>
    <w:rsid w:val="00440E28"/>
    <w:rsid w:val="004412E1"/>
    <w:rsid w:val="004414D8"/>
    <w:rsid w:val="00441554"/>
    <w:rsid w:val="00442693"/>
    <w:rsid w:val="00442B68"/>
    <w:rsid w:val="00442B74"/>
    <w:rsid w:val="00442E48"/>
    <w:rsid w:val="00443003"/>
    <w:rsid w:val="0044314B"/>
    <w:rsid w:val="00443671"/>
    <w:rsid w:val="0044381E"/>
    <w:rsid w:val="00443BE2"/>
    <w:rsid w:val="00443DCD"/>
    <w:rsid w:val="00443E7E"/>
    <w:rsid w:val="00443E94"/>
    <w:rsid w:val="0044488E"/>
    <w:rsid w:val="004449D9"/>
    <w:rsid w:val="00444C06"/>
    <w:rsid w:val="00444F9C"/>
    <w:rsid w:val="00445259"/>
    <w:rsid w:val="004452B1"/>
    <w:rsid w:val="004454DF"/>
    <w:rsid w:val="004454EA"/>
    <w:rsid w:val="00445786"/>
    <w:rsid w:val="00445FC6"/>
    <w:rsid w:val="004460C8"/>
    <w:rsid w:val="0044659F"/>
    <w:rsid w:val="00446804"/>
    <w:rsid w:val="00446F31"/>
    <w:rsid w:val="0044708F"/>
    <w:rsid w:val="00447531"/>
    <w:rsid w:val="004476EE"/>
    <w:rsid w:val="004478D4"/>
    <w:rsid w:val="00447ABE"/>
    <w:rsid w:val="00447C09"/>
    <w:rsid w:val="00447EFD"/>
    <w:rsid w:val="00447F64"/>
    <w:rsid w:val="00450380"/>
    <w:rsid w:val="00450573"/>
    <w:rsid w:val="004505C6"/>
    <w:rsid w:val="004505E2"/>
    <w:rsid w:val="00450BDB"/>
    <w:rsid w:val="00450C4E"/>
    <w:rsid w:val="00450D86"/>
    <w:rsid w:val="0045180A"/>
    <w:rsid w:val="0045195C"/>
    <w:rsid w:val="00451E3D"/>
    <w:rsid w:val="00451F5B"/>
    <w:rsid w:val="00451F69"/>
    <w:rsid w:val="004520CD"/>
    <w:rsid w:val="00452193"/>
    <w:rsid w:val="00452313"/>
    <w:rsid w:val="00452620"/>
    <w:rsid w:val="00452A27"/>
    <w:rsid w:val="00452AE3"/>
    <w:rsid w:val="00452DF3"/>
    <w:rsid w:val="00453114"/>
    <w:rsid w:val="00453373"/>
    <w:rsid w:val="00453377"/>
    <w:rsid w:val="004534F5"/>
    <w:rsid w:val="0045372D"/>
    <w:rsid w:val="00453765"/>
    <w:rsid w:val="00453CB6"/>
    <w:rsid w:val="00453DB8"/>
    <w:rsid w:val="00453F93"/>
    <w:rsid w:val="0045408F"/>
    <w:rsid w:val="004543DA"/>
    <w:rsid w:val="00454588"/>
    <w:rsid w:val="00454A24"/>
    <w:rsid w:val="00454D19"/>
    <w:rsid w:val="00454EC3"/>
    <w:rsid w:val="00454F0A"/>
    <w:rsid w:val="0045530A"/>
    <w:rsid w:val="00455379"/>
    <w:rsid w:val="004553AB"/>
    <w:rsid w:val="004554AE"/>
    <w:rsid w:val="004554C3"/>
    <w:rsid w:val="004556B4"/>
    <w:rsid w:val="00455914"/>
    <w:rsid w:val="00455996"/>
    <w:rsid w:val="00455C73"/>
    <w:rsid w:val="00455FB6"/>
    <w:rsid w:val="0045637B"/>
    <w:rsid w:val="0045684D"/>
    <w:rsid w:val="004569C7"/>
    <w:rsid w:val="00457117"/>
    <w:rsid w:val="00457197"/>
    <w:rsid w:val="00457555"/>
    <w:rsid w:val="00457971"/>
    <w:rsid w:val="00457DD8"/>
    <w:rsid w:val="00460239"/>
    <w:rsid w:val="004603D0"/>
    <w:rsid w:val="004608DC"/>
    <w:rsid w:val="00460E91"/>
    <w:rsid w:val="00461665"/>
    <w:rsid w:val="00461C93"/>
    <w:rsid w:val="00461CD0"/>
    <w:rsid w:val="00462439"/>
    <w:rsid w:val="004624AE"/>
    <w:rsid w:val="0046250E"/>
    <w:rsid w:val="00462D5F"/>
    <w:rsid w:val="00462E9C"/>
    <w:rsid w:val="00462EB8"/>
    <w:rsid w:val="004642AE"/>
    <w:rsid w:val="00464329"/>
    <w:rsid w:val="00464B48"/>
    <w:rsid w:val="00464B7A"/>
    <w:rsid w:val="00464E6F"/>
    <w:rsid w:val="00464F0E"/>
    <w:rsid w:val="00464F63"/>
    <w:rsid w:val="00465205"/>
    <w:rsid w:val="00465231"/>
    <w:rsid w:val="004662AD"/>
    <w:rsid w:val="00466516"/>
    <w:rsid w:val="0046697C"/>
    <w:rsid w:val="0046703D"/>
    <w:rsid w:val="00467B65"/>
    <w:rsid w:val="00467D88"/>
    <w:rsid w:val="004712A0"/>
    <w:rsid w:val="00471BA0"/>
    <w:rsid w:val="00471EA5"/>
    <w:rsid w:val="00471ED0"/>
    <w:rsid w:val="004720C9"/>
    <w:rsid w:val="0047210B"/>
    <w:rsid w:val="00472257"/>
    <w:rsid w:val="004724D6"/>
    <w:rsid w:val="00472E49"/>
    <w:rsid w:val="004732BB"/>
    <w:rsid w:val="004737AB"/>
    <w:rsid w:val="00473A70"/>
    <w:rsid w:val="00473AA2"/>
    <w:rsid w:val="00473B1D"/>
    <w:rsid w:val="00473F26"/>
    <w:rsid w:val="0047429A"/>
    <w:rsid w:val="004745EC"/>
    <w:rsid w:val="00474C60"/>
    <w:rsid w:val="00475255"/>
    <w:rsid w:val="004753BB"/>
    <w:rsid w:val="00475944"/>
    <w:rsid w:val="00475DF0"/>
    <w:rsid w:val="00475F45"/>
    <w:rsid w:val="00476171"/>
    <w:rsid w:val="00476525"/>
    <w:rsid w:val="004767DE"/>
    <w:rsid w:val="00476B98"/>
    <w:rsid w:val="00477244"/>
    <w:rsid w:val="004772E2"/>
    <w:rsid w:val="0047739F"/>
    <w:rsid w:val="00477F97"/>
    <w:rsid w:val="0048005D"/>
    <w:rsid w:val="004806CF"/>
    <w:rsid w:val="004807FD"/>
    <w:rsid w:val="00480A2D"/>
    <w:rsid w:val="00480A60"/>
    <w:rsid w:val="00480AFB"/>
    <w:rsid w:val="00481247"/>
    <w:rsid w:val="004818BB"/>
    <w:rsid w:val="00481CBA"/>
    <w:rsid w:val="00481DAD"/>
    <w:rsid w:val="00482141"/>
    <w:rsid w:val="00482693"/>
    <w:rsid w:val="00482719"/>
    <w:rsid w:val="004828DC"/>
    <w:rsid w:val="00482F4A"/>
    <w:rsid w:val="00482FF7"/>
    <w:rsid w:val="00483098"/>
    <w:rsid w:val="0048361F"/>
    <w:rsid w:val="00483876"/>
    <w:rsid w:val="00483AFB"/>
    <w:rsid w:val="00483F05"/>
    <w:rsid w:val="0048402B"/>
    <w:rsid w:val="0048414A"/>
    <w:rsid w:val="00484199"/>
    <w:rsid w:val="00484831"/>
    <w:rsid w:val="00485438"/>
    <w:rsid w:val="00485585"/>
    <w:rsid w:val="00485BA1"/>
    <w:rsid w:val="00485C56"/>
    <w:rsid w:val="00485C95"/>
    <w:rsid w:val="004869B6"/>
    <w:rsid w:val="00486B79"/>
    <w:rsid w:val="00486CA2"/>
    <w:rsid w:val="00487709"/>
    <w:rsid w:val="004903D8"/>
    <w:rsid w:val="00490769"/>
    <w:rsid w:val="004909B7"/>
    <w:rsid w:val="00490A2A"/>
    <w:rsid w:val="00490B25"/>
    <w:rsid w:val="00490BD0"/>
    <w:rsid w:val="00490C22"/>
    <w:rsid w:val="00490FD6"/>
    <w:rsid w:val="004911C4"/>
    <w:rsid w:val="004911CA"/>
    <w:rsid w:val="004916AE"/>
    <w:rsid w:val="00491FB2"/>
    <w:rsid w:val="0049206A"/>
    <w:rsid w:val="0049226C"/>
    <w:rsid w:val="00492330"/>
    <w:rsid w:val="00492B4E"/>
    <w:rsid w:val="0049342D"/>
    <w:rsid w:val="00493724"/>
    <w:rsid w:val="004941F0"/>
    <w:rsid w:val="004947B3"/>
    <w:rsid w:val="00494CC8"/>
    <w:rsid w:val="00495418"/>
    <w:rsid w:val="004955E7"/>
    <w:rsid w:val="00495870"/>
    <w:rsid w:val="0049589C"/>
    <w:rsid w:val="00495EE2"/>
    <w:rsid w:val="00495EF1"/>
    <w:rsid w:val="004967B4"/>
    <w:rsid w:val="004967B5"/>
    <w:rsid w:val="004968A7"/>
    <w:rsid w:val="004968EE"/>
    <w:rsid w:val="00496ED4"/>
    <w:rsid w:val="00497181"/>
    <w:rsid w:val="00497D4A"/>
    <w:rsid w:val="004A0441"/>
    <w:rsid w:val="004A070C"/>
    <w:rsid w:val="004A084C"/>
    <w:rsid w:val="004A0C3F"/>
    <w:rsid w:val="004A0E94"/>
    <w:rsid w:val="004A1148"/>
    <w:rsid w:val="004A15B3"/>
    <w:rsid w:val="004A1D01"/>
    <w:rsid w:val="004A1E07"/>
    <w:rsid w:val="004A200B"/>
    <w:rsid w:val="004A2A54"/>
    <w:rsid w:val="004A2EF3"/>
    <w:rsid w:val="004A3257"/>
    <w:rsid w:val="004A3B0D"/>
    <w:rsid w:val="004A45C5"/>
    <w:rsid w:val="004A45E9"/>
    <w:rsid w:val="004A4A78"/>
    <w:rsid w:val="004A4D87"/>
    <w:rsid w:val="004A50C7"/>
    <w:rsid w:val="004A52F5"/>
    <w:rsid w:val="004A5411"/>
    <w:rsid w:val="004A5471"/>
    <w:rsid w:val="004A5D3A"/>
    <w:rsid w:val="004A5DC2"/>
    <w:rsid w:val="004A60D2"/>
    <w:rsid w:val="004A6596"/>
    <w:rsid w:val="004A6897"/>
    <w:rsid w:val="004A692B"/>
    <w:rsid w:val="004A6EB6"/>
    <w:rsid w:val="004A71B5"/>
    <w:rsid w:val="004A7590"/>
    <w:rsid w:val="004A76FC"/>
    <w:rsid w:val="004A773B"/>
    <w:rsid w:val="004A794C"/>
    <w:rsid w:val="004A7C14"/>
    <w:rsid w:val="004B05EE"/>
    <w:rsid w:val="004B0E12"/>
    <w:rsid w:val="004B1090"/>
    <w:rsid w:val="004B12FD"/>
    <w:rsid w:val="004B15AB"/>
    <w:rsid w:val="004B16C7"/>
    <w:rsid w:val="004B180D"/>
    <w:rsid w:val="004B1916"/>
    <w:rsid w:val="004B20CC"/>
    <w:rsid w:val="004B2111"/>
    <w:rsid w:val="004B215F"/>
    <w:rsid w:val="004B3B4E"/>
    <w:rsid w:val="004B3EC7"/>
    <w:rsid w:val="004B444A"/>
    <w:rsid w:val="004B5664"/>
    <w:rsid w:val="004B57DC"/>
    <w:rsid w:val="004B664D"/>
    <w:rsid w:val="004B6690"/>
    <w:rsid w:val="004B67F8"/>
    <w:rsid w:val="004B6EAD"/>
    <w:rsid w:val="004B7D0B"/>
    <w:rsid w:val="004B7DCB"/>
    <w:rsid w:val="004B7F15"/>
    <w:rsid w:val="004C1577"/>
    <w:rsid w:val="004C16A9"/>
    <w:rsid w:val="004C19CA"/>
    <w:rsid w:val="004C1C4E"/>
    <w:rsid w:val="004C20F9"/>
    <w:rsid w:val="004C2107"/>
    <w:rsid w:val="004C262F"/>
    <w:rsid w:val="004C2A76"/>
    <w:rsid w:val="004C2B9A"/>
    <w:rsid w:val="004C369D"/>
    <w:rsid w:val="004C36AC"/>
    <w:rsid w:val="004C4272"/>
    <w:rsid w:val="004C44C1"/>
    <w:rsid w:val="004C464D"/>
    <w:rsid w:val="004C4C57"/>
    <w:rsid w:val="004C55FE"/>
    <w:rsid w:val="004C57B9"/>
    <w:rsid w:val="004C5BDA"/>
    <w:rsid w:val="004C5FB4"/>
    <w:rsid w:val="004C5FC6"/>
    <w:rsid w:val="004C60DD"/>
    <w:rsid w:val="004C6435"/>
    <w:rsid w:val="004C649B"/>
    <w:rsid w:val="004C6FFB"/>
    <w:rsid w:val="004C752D"/>
    <w:rsid w:val="004C76B0"/>
    <w:rsid w:val="004C78AB"/>
    <w:rsid w:val="004C7B9C"/>
    <w:rsid w:val="004C7D55"/>
    <w:rsid w:val="004D0507"/>
    <w:rsid w:val="004D089A"/>
    <w:rsid w:val="004D0F3A"/>
    <w:rsid w:val="004D167B"/>
    <w:rsid w:val="004D1771"/>
    <w:rsid w:val="004D190C"/>
    <w:rsid w:val="004D1A84"/>
    <w:rsid w:val="004D1C68"/>
    <w:rsid w:val="004D2901"/>
    <w:rsid w:val="004D2960"/>
    <w:rsid w:val="004D2A75"/>
    <w:rsid w:val="004D2F18"/>
    <w:rsid w:val="004D3184"/>
    <w:rsid w:val="004D3BC7"/>
    <w:rsid w:val="004D4213"/>
    <w:rsid w:val="004D47E4"/>
    <w:rsid w:val="004D5030"/>
    <w:rsid w:val="004D503F"/>
    <w:rsid w:val="004D5453"/>
    <w:rsid w:val="004D5A0F"/>
    <w:rsid w:val="004D6045"/>
    <w:rsid w:val="004D617B"/>
    <w:rsid w:val="004D6201"/>
    <w:rsid w:val="004D65CF"/>
    <w:rsid w:val="004D6622"/>
    <w:rsid w:val="004D68A8"/>
    <w:rsid w:val="004D6EA9"/>
    <w:rsid w:val="004D732E"/>
    <w:rsid w:val="004D7546"/>
    <w:rsid w:val="004D7625"/>
    <w:rsid w:val="004D7EC5"/>
    <w:rsid w:val="004E02B0"/>
    <w:rsid w:val="004E04AE"/>
    <w:rsid w:val="004E0900"/>
    <w:rsid w:val="004E0B29"/>
    <w:rsid w:val="004E0E11"/>
    <w:rsid w:val="004E0F08"/>
    <w:rsid w:val="004E147C"/>
    <w:rsid w:val="004E1546"/>
    <w:rsid w:val="004E19DC"/>
    <w:rsid w:val="004E1B7D"/>
    <w:rsid w:val="004E1FCD"/>
    <w:rsid w:val="004E251C"/>
    <w:rsid w:val="004E2B14"/>
    <w:rsid w:val="004E2D3B"/>
    <w:rsid w:val="004E2E04"/>
    <w:rsid w:val="004E3581"/>
    <w:rsid w:val="004E35E8"/>
    <w:rsid w:val="004E367B"/>
    <w:rsid w:val="004E3A04"/>
    <w:rsid w:val="004E4C40"/>
    <w:rsid w:val="004E4C7E"/>
    <w:rsid w:val="004E50C0"/>
    <w:rsid w:val="004E50F0"/>
    <w:rsid w:val="004E5668"/>
    <w:rsid w:val="004E567F"/>
    <w:rsid w:val="004E5A68"/>
    <w:rsid w:val="004E5CED"/>
    <w:rsid w:val="004E67A9"/>
    <w:rsid w:val="004E6A03"/>
    <w:rsid w:val="004E7459"/>
    <w:rsid w:val="004E7BDF"/>
    <w:rsid w:val="004E7DAE"/>
    <w:rsid w:val="004F0036"/>
    <w:rsid w:val="004F0070"/>
    <w:rsid w:val="004F0468"/>
    <w:rsid w:val="004F0685"/>
    <w:rsid w:val="004F0C51"/>
    <w:rsid w:val="004F0CF1"/>
    <w:rsid w:val="004F0F30"/>
    <w:rsid w:val="004F104D"/>
    <w:rsid w:val="004F1802"/>
    <w:rsid w:val="004F1DA3"/>
    <w:rsid w:val="004F1F8E"/>
    <w:rsid w:val="004F217F"/>
    <w:rsid w:val="004F263C"/>
    <w:rsid w:val="004F2B17"/>
    <w:rsid w:val="004F2BB1"/>
    <w:rsid w:val="004F2D42"/>
    <w:rsid w:val="004F2EC7"/>
    <w:rsid w:val="004F31D7"/>
    <w:rsid w:val="004F359D"/>
    <w:rsid w:val="004F3A9A"/>
    <w:rsid w:val="004F3CE8"/>
    <w:rsid w:val="004F3DD7"/>
    <w:rsid w:val="004F478A"/>
    <w:rsid w:val="004F4BDD"/>
    <w:rsid w:val="004F4CBA"/>
    <w:rsid w:val="004F54C4"/>
    <w:rsid w:val="004F5697"/>
    <w:rsid w:val="004F581E"/>
    <w:rsid w:val="004F589A"/>
    <w:rsid w:val="004F5C29"/>
    <w:rsid w:val="004F5CC3"/>
    <w:rsid w:val="004F6060"/>
    <w:rsid w:val="004F68A2"/>
    <w:rsid w:val="004F6BFB"/>
    <w:rsid w:val="004F6C57"/>
    <w:rsid w:val="004F7530"/>
    <w:rsid w:val="004F7946"/>
    <w:rsid w:val="004F7CAF"/>
    <w:rsid w:val="004F7E4A"/>
    <w:rsid w:val="005003BF"/>
    <w:rsid w:val="005004FB"/>
    <w:rsid w:val="00500E54"/>
    <w:rsid w:val="005010B7"/>
    <w:rsid w:val="0050147C"/>
    <w:rsid w:val="0050182B"/>
    <w:rsid w:val="005018AD"/>
    <w:rsid w:val="00501B59"/>
    <w:rsid w:val="00501E36"/>
    <w:rsid w:val="0050202A"/>
    <w:rsid w:val="005021D5"/>
    <w:rsid w:val="00502579"/>
    <w:rsid w:val="005029F7"/>
    <w:rsid w:val="00502D32"/>
    <w:rsid w:val="00502E7F"/>
    <w:rsid w:val="00503D4C"/>
    <w:rsid w:val="00503EB6"/>
    <w:rsid w:val="00504C0C"/>
    <w:rsid w:val="00504C67"/>
    <w:rsid w:val="00504E48"/>
    <w:rsid w:val="0050514D"/>
    <w:rsid w:val="00505B2D"/>
    <w:rsid w:val="00505CBE"/>
    <w:rsid w:val="00506594"/>
    <w:rsid w:val="00506FDD"/>
    <w:rsid w:val="005070FF"/>
    <w:rsid w:val="00507719"/>
    <w:rsid w:val="00507722"/>
    <w:rsid w:val="00507D95"/>
    <w:rsid w:val="005111E7"/>
    <w:rsid w:val="0051122D"/>
    <w:rsid w:val="005112F9"/>
    <w:rsid w:val="005119F2"/>
    <w:rsid w:val="0051287B"/>
    <w:rsid w:val="00512895"/>
    <w:rsid w:val="00512BBC"/>
    <w:rsid w:val="00513197"/>
    <w:rsid w:val="005133DB"/>
    <w:rsid w:val="005134FB"/>
    <w:rsid w:val="005135FD"/>
    <w:rsid w:val="0051366C"/>
    <w:rsid w:val="00513A45"/>
    <w:rsid w:val="005140C5"/>
    <w:rsid w:val="005142B9"/>
    <w:rsid w:val="005146CC"/>
    <w:rsid w:val="00514A7B"/>
    <w:rsid w:val="00514BFA"/>
    <w:rsid w:val="005150A8"/>
    <w:rsid w:val="0051550C"/>
    <w:rsid w:val="00515A5C"/>
    <w:rsid w:val="00515B2B"/>
    <w:rsid w:val="00515C3E"/>
    <w:rsid w:val="00515F45"/>
    <w:rsid w:val="0051613E"/>
    <w:rsid w:val="0051684F"/>
    <w:rsid w:val="005168D1"/>
    <w:rsid w:val="00516A92"/>
    <w:rsid w:val="00516B9F"/>
    <w:rsid w:val="00517693"/>
    <w:rsid w:val="00517900"/>
    <w:rsid w:val="00520012"/>
    <w:rsid w:val="00520228"/>
    <w:rsid w:val="005205AB"/>
    <w:rsid w:val="00520D4C"/>
    <w:rsid w:val="00521037"/>
    <w:rsid w:val="00521403"/>
    <w:rsid w:val="00521B90"/>
    <w:rsid w:val="00521D4F"/>
    <w:rsid w:val="00522556"/>
    <w:rsid w:val="0052267D"/>
    <w:rsid w:val="00522B3F"/>
    <w:rsid w:val="00522FA0"/>
    <w:rsid w:val="005231A9"/>
    <w:rsid w:val="00523378"/>
    <w:rsid w:val="00524120"/>
    <w:rsid w:val="0052481B"/>
    <w:rsid w:val="00524B27"/>
    <w:rsid w:val="00524F64"/>
    <w:rsid w:val="005254B4"/>
    <w:rsid w:val="0052550F"/>
    <w:rsid w:val="00525A8B"/>
    <w:rsid w:val="00525DF1"/>
    <w:rsid w:val="005263E9"/>
    <w:rsid w:val="00526C0F"/>
    <w:rsid w:val="00526C95"/>
    <w:rsid w:val="00526DE0"/>
    <w:rsid w:val="00527022"/>
    <w:rsid w:val="0052702A"/>
    <w:rsid w:val="0052724C"/>
    <w:rsid w:val="00530136"/>
    <w:rsid w:val="005301C7"/>
    <w:rsid w:val="00530205"/>
    <w:rsid w:val="00530397"/>
    <w:rsid w:val="00530458"/>
    <w:rsid w:val="00530CCC"/>
    <w:rsid w:val="00530F73"/>
    <w:rsid w:val="00531A5D"/>
    <w:rsid w:val="00532132"/>
    <w:rsid w:val="0053253E"/>
    <w:rsid w:val="0053266D"/>
    <w:rsid w:val="00532B17"/>
    <w:rsid w:val="00532CD9"/>
    <w:rsid w:val="0053393A"/>
    <w:rsid w:val="00533B8E"/>
    <w:rsid w:val="00533F09"/>
    <w:rsid w:val="005342E7"/>
    <w:rsid w:val="005342FA"/>
    <w:rsid w:val="00534971"/>
    <w:rsid w:val="00534DFB"/>
    <w:rsid w:val="00535417"/>
    <w:rsid w:val="00535575"/>
    <w:rsid w:val="00535833"/>
    <w:rsid w:val="005359ED"/>
    <w:rsid w:val="00536649"/>
    <w:rsid w:val="00536D28"/>
    <w:rsid w:val="00536E2B"/>
    <w:rsid w:val="00537099"/>
    <w:rsid w:val="00537291"/>
    <w:rsid w:val="005372C5"/>
    <w:rsid w:val="00537A26"/>
    <w:rsid w:val="005405D4"/>
    <w:rsid w:val="005407F0"/>
    <w:rsid w:val="00540E47"/>
    <w:rsid w:val="00541088"/>
    <w:rsid w:val="0054110E"/>
    <w:rsid w:val="00541177"/>
    <w:rsid w:val="005414B1"/>
    <w:rsid w:val="005416E0"/>
    <w:rsid w:val="005421FE"/>
    <w:rsid w:val="00542655"/>
    <w:rsid w:val="00542716"/>
    <w:rsid w:val="00542999"/>
    <w:rsid w:val="00542B91"/>
    <w:rsid w:val="00543283"/>
    <w:rsid w:val="00543437"/>
    <w:rsid w:val="00543448"/>
    <w:rsid w:val="0054364C"/>
    <w:rsid w:val="00543CFC"/>
    <w:rsid w:val="00543DCF"/>
    <w:rsid w:val="00544087"/>
    <w:rsid w:val="0054443C"/>
    <w:rsid w:val="0054454A"/>
    <w:rsid w:val="00544760"/>
    <w:rsid w:val="00544BC2"/>
    <w:rsid w:val="00544E43"/>
    <w:rsid w:val="00545AAB"/>
    <w:rsid w:val="00546377"/>
    <w:rsid w:val="00546486"/>
    <w:rsid w:val="00546699"/>
    <w:rsid w:val="00546747"/>
    <w:rsid w:val="00546FF0"/>
    <w:rsid w:val="00547510"/>
    <w:rsid w:val="0054761A"/>
    <w:rsid w:val="00547ECC"/>
    <w:rsid w:val="00547F92"/>
    <w:rsid w:val="00550AA8"/>
    <w:rsid w:val="00550E7D"/>
    <w:rsid w:val="0055122F"/>
    <w:rsid w:val="00551928"/>
    <w:rsid w:val="00551D5A"/>
    <w:rsid w:val="00551EC3"/>
    <w:rsid w:val="00551ED6"/>
    <w:rsid w:val="005529FB"/>
    <w:rsid w:val="00552C22"/>
    <w:rsid w:val="00552D21"/>
    <w:rsid w:val="005531FD"/>
    <w:rsid w:val="005538F7"/>
    <w:rsid w:val="00553946"/>
    <w:rsid w:val="00553A44"/>
    <w:rsid w:val="00554A44"/>
    <w:rsid w:val="00554B14"/>
    <w:rsid w:val="00554C53"/>
    <w:rsid w:val="00554F18"/>
    <w:rsid w:val="00555220"/>
    <w:rsid w:val="005555F0"/>
    <w:rsid w:val="00555739"/>
    <w:rsid w:val="005567E5"/>
    <w:rsid w:val="00556E75"/>
    <w:rsid w:val="0055740D"/>
    <w:rsid w:val="005602FA"/>
    <w:rsid w:val="0056069A"/>
    <w:rsid w:val="00560C3B"/>
    <w:rsid w:val="00560CFF"/>
    <w:rsid w:val="00561BF2"/>
    <w:rsid w:val="00561EA1"/>
    <w:rsid w:val="00562799"/>
    <w:rsid w:val="00563222"/>
    <w:rsid w:val="0056327F"/>
    <w:rsid w:val="005640A4"/>
    <w:rsid w:val="00564217"/>
    <w:rsid w:val="005644D8"/>
    <w:rsid w:val="00564804"/>
    <w:rsid w:val="00564FED"/>
    <w:rsid w:val="00565598"/>
    <w:rsid w:val="00565B5A"/>
    <w:rsid w:val="00565C53"/>
    <w:rsid w:val="00565F57"/>
    <w:rsid w:val="00567DC1"/>
    <w:rsid w:val="00567E8F"/>
    <w:rsid w:val="00570014"/>
    <w:rsid w:val="005701FC"/>
    <w:rsid w:val="005702D6"/>
    <w:rsid w:val="00570C53"/>
    <w:rsid w:val="005711B0"/>
    <w:rsid w:val="0057129D"/>
    <w:rsid w:val="005713EC"/>
    <w:rsid w:val="005719E1"/>
    <w:rsid w:val="00571A89"/>
    <w:rsid w:val="00571CC8"/>
    <w:rsid w:val="00572541"/>
    <w:rsid w:val="00572588"/>
    <w:rsid w:val="00572662"/>
    <w:rsid w:val="00572D1E"/>
    <w:rsid w:val="00572DAF"/>
    <w:rsid w:val="005732AD"/>
    <w:rsid w:val="005732B1"/>
    <w:rsid w:val="00573A50"/>
    <w:rsid w:val="00574410"/>
    <w:rsid w:val="005746D2"/>
    <w:rsid w:val="00574D1C"/>
    <w:rsid w:val="00574E8A"/>
    <w:rsid w:val="00575347"/>
    <w:rsid w:val="005754DB"/>
    <w:rsid w:val="005755AB"/>
    <w:rsid w:val="00575EE6"/>
    <w:rsid w:val="005765F5"/>
    <w:rsid w:val="005766DB"/>
    <w:rsid w:val="00577775"/>
    <w:rsid w:val="00580367"/>
    <w:rsid w:val="005805F4"/>
    <w:rsid w:val="00580A2A"/>
    <w:rsid w:val="00580BC1"/>
    <w:rsid w:val="005811A0"/>
    <w:rsid w:val="0058121A"/>
    <w:rsid w:val="00581787"/>
    <w:rsid w:val="00581863"/>
    <w:rsid w:val="00581B0E"/>
    <w:rsid w:val="00581C5F"/>
    <w:rsid w:val="00581DB7"/>
    <w:rsid w:val="00581E30"/>
    <w:rsid w:val="00581EA3"/>
    <w:rsid w:val="0058205A"/>
    <w:rsid w:val="005823FF"/>
    <w:rsid w:val="0058260B"/>
    <w:rsid w:val="005827FD"/>
    <w:rsid w:val="0058325B"/>
    <w:rsid w:val="005847B3"/>
    <w:rsid w:val="005847D4"/>
    <w:rsid w:val="00584861"/>
    <w:rsid w:val="005849E1"/>
    <w:rsid w:val="00584A08"/>
    <w:rsid w:val="00584D1E"/>
    <w:rsid w:val="005865B4"/>
    <w:rsid w:val="00586626"/>
    <w:rsid w:val="00586795"/>
    <w:rsid w:val="005867EC"/>
    <w:rsid w:val="00586B44"/>
    <w:rsid w:val="00586B82"/>
    <w:rsid w:val="005872AB"/>
    <w:rsid w:val="00587A2A"/>
    <w:rsid w:val="00587AD4"/>
    <w:rsid w:val="00587AF5"/>
    <w:rsid w:val="00587E13"/>
    <w:rsid w:val="00587FB3"/>
    <w:rsid w:val="00592598"/>
    <w:rsid w:val="00592934"/>
    <w:rsid w:val="00592DE5"/>
    <w:rsid w:val="00592EC3"/>
    <w:rsid w:val="005933AA"/>
    <w:rsid w:val="00593604"/>
    <w:rsid w:val="0059362C"/>
    <w:rsid w:val="005940AA"/>
    <w:rsid w:val="00594614"/>
    <w:rsid w:val="00594806"/>
    <w:rsid w:val="00594CDE"/>
    <w:rsid w:val="00594E10"/>
    <w:rsid w:val="00595077"/>
    <w:rsid w:val="005950E3"/>
    <w:rsid w:val="005958C6"/>
    <w:rsid w:val="00595C07"/>
    <w:rsid w:val="00596306"/>
    <w:rsid w:val="00596487"/>
    <w:rsid w:val="00596941"/>
    <w:rsid w:val="0059746B"/>
    <w:rsid w:val="00597493"/>
    <w:rsid w:val="005A00B8"/>
    <w:rsid w:val="005A0809"/>
    <w:rsid w:val="005A0A7F"/>
    <w:rsid w:val="005A0B91"/>
    <w:rsid w:val="005A0B9D"/>
    <w:rsid w:val="005A1051"/>
    <w:rsid w:val="005A1494"/>
    <w:rsid w:val="005A1879"/>
    <w:rsid w:val="005A1DE8"/>
    <w:rsid w:val="005A1E25"/>
    <w:rsid w:val="005A213E"/>
    <w:rsid w:val="005A230E"/>
    <w:rsid w:val="005A260B"/>
    <w:rsid w:val="005A2BD7"/>
    <w:rsid w:val="005A2D96"/>
    <w:rsid w:val="005A31A8"/>
    <w:rsid w:val="005A3590"/>
    <w:rsid w:val="005A39E7"/>
    <w:rsid w:val="005A4A1C"/>
    <w:rsid w:val="005A561B"/>
    <w:rsid w:val="005A5BD8"/>
    <w:rsid w:val="005A601B"/>
    <w:rsid w:val="005A6276"/>
    <w:rsid w:val="005A692A"/>
    <w:rsid w:val="005A6AB8"/>
    <w:rsid w:val="005A6D46"/>
    <w:rsid w:val="005A70DD"/>
    <w:rsid w:val="005A7FAB"/>
    <w:rsid w:val="005B0246"/>
    <w:rsid w:val="005B0279"/>
    <w:rsid w:val="005B0F09"/>
    <w:rsid w:val="005B11C2"/>
    <w:rsid w:val="005B142B"/>
    <w:rsid w:val="005B157A"/>
    <w:rsid w:val="005B180A"/>
    <w:rsid w:val="005B1BCE"/>
    <w:rsid w:val="005B1C15"/>
    <w:rsid w:val="005B2222"/>
    <w:rsid w:val="005B223C"/>
    <w:rsid w:val="005B23EF"/>
    <w:rsid w:val="005B2ECC"/>
    <w:rsid w:val="005B3448"/>
    <w:rsid w:val="005B382C"/>
    <w:rsid w:val="005B3C11"/>
    <w:rsid w:val="005B40DA"/>
    <w:rsid w:val="005B4226"/>
    <w:rsid w:val="005B43A5"/>
    <w:rsid w:val="005B4C75"/>
    <w:rsid w:val="005B4CDA"/>
    <w:rsid w:val="005B5874"/>
    <w:rsid w:val="005B5AA4"/>
    <w:rsid w:val="005B5FA4"/>
    <w:rsid w:val="005B5FD7"/>
    <w:rsid w:val="005B6367"/>
    <w:rsid w:val="005B6376"/>
    <w:rsid w:val="005B656B"/>
    <w:rsid w:val="005B6E95"/>
    <w:rsid w:val="005B71B3"/>
    <w:rsid w:val="005B73D2"/>
    <w:rsid w:val="005B76A4"/>
    <w:rsid w:val="005C015E"/>
    <w:rsid w:val="005C042A"/>
    <w:rsid w:val="005C04A7"/>
    <w:rsid w:val="005C0CB1"/>
    <w:rsid w:val="005C0F9D"/>
    <w:rsid w:val="005C17A4"/>
    <w:rsid w:val="005C19A8"/>
    <w:rsid w:val="005C1B22"/>
    <w:rsid w:val="005C27CC"/>
    <w:rsid w:val="005C296F"/>
    <w:rsid w:val="005C3455"/>
    <w:rsid w:val="005C35EE"/>
    <w:rsid w:val="005C370D"/>
    <w:rsid w:val="005C3A35"/>
    <w:rsid w:val="005C3ABF"/>
    <w:rsid w:val="005C43B4"/>
    <w:rsid w:val="005C47C0"/>
    <w:rsid w:val="005C4882"/>
    <w:rsid w:val="005C498E"/>
    <w:rsid w:val="005C504E"/>
    <w:rsid w:val="005C5655"/>
    <w:rsid w:val="005C56D7"/>
    <w:rsid w:val="005C5AAB"/>
    <w:rsid w:val="005C6153"/>
    <w:rsid w:val="005C67B9"/>
    <w:rsid w:val="005C6D8E"/>
    <w:rsid w:val="005C7187"/>
    <w:rsid w:val="005C738F"/>
    <w:rsid w:val="005C78B0"/>
    <w:rsid w:val="005C7B95"/>
    <w:rsid w:val="005C7F02"/>
    <w:rsid w:val="005D01EB"/>
    <w:rsid w:val="005D07A2"/>
    <w:rsid w:val="005D0DFB"/>
    <w:rsid w:val="005D0FFA"/>
    <w:rsid w:val="005D1112"/>
    <w:rsid w:val="005D1E46"/>
    <w:rsid w:val="005D1EE0"/>
    <w:rsid w:val="005D237C"/>
    <w:rsid w:val="005D25E2"/>
    <w:rsid w:val="005D25FF"/>
    <w:rsid w:val="005D2632"/>
    <w:rsid w:val="005D2654"/>
    <w:rsid w:val="005D31FF"/>
    <w:rsid w:val="005D3392"/>
    <w:rsid w:val="005D38E0"/>
    <w:rsid w:val="005D39D5"/>
    <w:rsid w:val="005D3CA2"/>
    <w:rsid w:val="005D3D4D"/>
    <w:rsid w:val="005D3F32"/>
    <w:rsid w:val="005D436C"/>
    <w:rsid w:val="005D4DD7"/>
    <w:rsid w:val="005D4E3E"/>
    <w:rsid w:val="005D4FFF"/>
    <w:rsid w:val="005D553B"/>
    <w:rsid w:val="005D5AF1"/>
    <w:rsid w:val="005D5E92"/>
    <w:rsid w:val="005D67F7"/>
    <w:rsid w:val="005D6B42"/>
    <w:rsid w:val="005D772A"/>
    <w:rsid w:val="005D7B18"/>
    <w:rsid w:val="005D7CB4"/>
    <w:rsid w:val="005D7D7E"/>
    <w:rsid w:val="005E0B59"/>
    <w:rsid w:val="005E0BAE"/>
    <w:rsid w:val="005E0E08"/>
    <w:rsid w:val="005E0F36"/>
    <w:rsid w:val="005E1105"/>
    <w:rsid w:val="005E112D"/>
    <w:rsid w:val="005E162F"/>
    <w:rsid w:val="005E1B91"/>
    <w:rsid w:val="005E2838"/>
    <w:rsid w:val="005E2C60"/>
    <w:rsid w:val="005E31F6"/>
    <w:rsid w:val="005E3622"/>
    <w:rsid w:val="005E3B47"/>
    <w:rsid w:val="005E423B"/>
    <w:rsid w:val="005E45FB"/>
    <w:rsid w:val="005E51C0"/>
    <w:rsid w:val="005E5391"/>
    <w:rsid w:val="005E5A84"/>
    <w:rsid w:val="005E5BBE"/>
    <w:rsid w:val="005E60B3"/>
    <w:rsid w:val="005E6560"/>
    <w:rsid w:val="005E676C"/>
    <w:rsid w:val="005E6C6D"/>
    <w:rsid w:val="005E6CB9"/>
    <w:rsid w:val="005E78B2"/>
    <w:rsid w:val="005E7F14"/>
    <w:rsid w:val="005E7F97"/>
    <w:rsid w:val="005F0154"/>
    <w:rsid w:val="005F0176"/>
    <w:rsid w:val="005F01A8"/>
    <w:rsid w:val="005F021D"/>
    <w:rsid w:val="005F0CCB"/>
    <w:rsid w:val="005F0E44"/>
    <w:rsid w:val="005F1510"/>
    <w:rsid w:val="005F1936"/>
    <w:rsid w:val="005F1EAC"/>
    <w:rsid w:val="005F1FEF"/>
    <w:rsid w:val="005F2B8B"/>
    <w:rsid w:val="005F2C15"/>
    <w:rsid w:val="005F308F"/>
    <w:rsid w:val="005F3D80"/>
    <w:rsid w:val="005F4260"/>
    <w:rsid w:val="005F485E"/>
    <w:rsid w:val="005F4869"/>
    <w:rsid w:val="005F4AE6"/>
    <w:rsid w:val="005F4BFD"/>
    <w:rsid w:val="005F5358"/>
    <w:rsid w:val="005F5418"/>
    <w:rsid w:val="005F5748"/>
    <w:rsid w:val="005F5834"/>
    <w:rsid w:val="005F5A6D"/>
    <w:rsid w:val="005F5E11"/>
    <w:rsid w:val="005F6164"/>
    <w:rsid w:val="005F6305"/>
    <w:rsid w:val="005F67D2"/>
    <w:rsid w:val="005F6FF0"/>
    <w:rsid w:val="005F703D"/>
    <w:rsid w:val="005F7446"/>
    <w:rsid w:val="006000C2"/>
    <w:rsid w:val="0060024F"/>
    <w:rsid w:val="006002B3"/>
    <w:rsid w:val="006003E5"/>
    <w:rsid w:val="00600718"/>
    <w:rsid w:val="0060086C"/>
    <w:rsid w:val="00600D28"/>
    <w:rsid w:val="00600D57"/>
    <w:rsid w:val="00600DD5"/>
    <w:rsid w:val="00600E63"/>
    <w:rsid w:val="00600ECC"/>
    <w:rsid w:val="0060111A"/>
    <w:rsid w:val="00601561"/>
    <w:rsid w:val="00601E55"/>
    <w:rsid w:val="00602037"/>
    <w:rsid w:val="006029DD"/>
    <w:rsid w:val="00602C6A"/>
    <w:rsid w:val="00602E10"/>
    <w:rsid w:val="00603753"/>
    <w:rsid w:val="00603AF5"/>
    <w:rsid w:val="00604532"/>
    <w:rsid w:val="00604CCC"/>
    <w:rsid w:val="006050AF"/>
    <w:rsid w:val="00605132"/>
    <w:rsid w:val="0060525F"/>
    <w:rsid w:val="00605470"/>
    <w:rsid w:val="0060577C"/>
    <w:rsid w:val="00605847"/>
    <w:rsid w:val="006061DD"/>
    <w:rsid w:val="00606C66"/>
    <w:rsid w:val="00606C77"/>
    <w:rsid w:val="006076F6"/>
    <w:rsid w:val="0061004F"/>
    <w:rsid w:val="0061008B"/>
    <w:rsid w:val="00610145"/>
    <w:rsid w:val="0061041D"/>
    <w:rsid w:val="00610575"/>
    <w:rsid w:val="00610D1F"/>
    <w:rsid w:val="0061110A"/>
    <w:rsid w:val="00611A75"/>
    <w:rsid w:val="00611F9F"/>
    <w:rsid w:val="00612262"/>
    <w:rsid w:val="006123C6"/>
    <w:rsid w:val="0061273B"/>
    <w:rsid w:val="006128EF"/>
    <w:rsid w:val="00612C02"/>
    <w:rsid w:val="00612CDD"/>
    <w:rsid w:val="00612F6C"/>
    <w:rsid w:val="00612FE1"/>
    <w:rsid w:val="00613472"/>
    <w:rsid w:val="00613554"/>
    <w:rsid w:val="0061385D"/>
    <w:rsid w:val="0061434C"/>
    <w:rsid w:val="006143FB"/>
    <w:rsid w:val="0061447F"/>
    <w:rsid w:val="0061499C"/>
    <w:rsid w:val="00614ECF"/>
    <w:rsid w:val="00614F24"/>
    <w:rsid w:val="006150DF"/>
    <w:rsid w:val="00615375"/>
    <w:rsid w:val="0061562E"/>
    <w:rsid w:val="00615D68"/>
    <w:rsid w:val="00615DA7"/>
    <w:rsid w:val="00616063"/>
    <w:rsid w:val="00616D41"/>
    <w:rsid w:val="006171A5"/>
    <w:rsid w:val="00617292"/>
    <w:rsid w:val="006200A9"/>
    <w:rsid w:val="00620489"/>
    <w:rsid w:val="006209CB"/>
    <w:rsid w:val="006212FB"/>
    <w:rsid w:val="0062136E"/>
    <w:rsid w:val="006216C0"/>
    <w:rsid w:val="006218D4"/>
    <w:rsid w:val="00621AD2"/>
    <w:rsid w:val="00621E46"/>
    <w:rsid w:val="00622076"/>
    <w:rsid w:val="00622225"/>
    <w:rsid w:val="0062273F"/>
    <w:rsid w:val="00622D03"/>
    <w:rsid w:val="00622D8E"/>
    <w:rsid w:val="00622DCD"/>
    <w:rsid w:val="00622F57"/>
    <w:rsid w:val="006230B8"/>
    <w:rsid w:val="00623101"/>
    <w:rsid w:val="006234EA"/>
    <w:rsid w:val="00623534"/>
    <w:rsid w:val="00623DD5"/>
    <w:rsid w:val="00624269"/>
    <w:rsid w:val="00624458"/>
    <w:rsid w:val="00624A34"/>
    <w:rsid w:val="00624B34"/>
    <w:rsid w:val="00624D6D"/>
    <w:rsid w:val="0062507F"/>
    <w:rsid w:val="00625155"/>
    <w:rsid w:val="0062568D"/>
    <w:rsid w:val="006256D3"/>
    <w:rsid w:val="00625E8B"/>
    <w:rsid w:val="00626303"/>
    <w:rsid w:val="00626447"/>
    <w:rsid w:val="00626719"/>
    <w:rsid w:val="006267F5"/>
    <w:rsid w:val="00626ABA"/>
    <w:rsid w:val="00626CDE"/>
    <w:rsid w:val="00627337"/>
    <w:rsid w:val="0062734D"/>
    <w:rsid w:val="00630021"/>
    <w:rsid w:val="00630069"/>
    <w:rsid w:val="00630583"/>
    <w:rsid w:val="006308A5"/>
    <w:rsid w:val="00630D2E"/>
    <w:rsid w:val="00630D39"/>
    <w:rsid w:val="00631AF5"/>
    <w:rsid w:val="00631E19"/>
    <w:rsid w:val="006334D8"/>
    <w:rsid w:val="00633B53"/>
    <w:rsid w:val="00633B82"/>
    <w:rsid w:val="00633BFE"/>
    <w:rsid w:val="00633E76"/>
    <w:rsid w:val="00633EBA"/>
    <w:rsid w:val="00633EC9"/>
    <w:rsid w:val="006340CD"/>
    <w:rsid w:val="006340F5"/>
    <w:rsid w:val="006343E9"/>
    <w:rsid w:val="00634542"/>
    <w:rsid w:val="00635940"/>
    <w:rsid w:val="00635A88"/>
    <w:rsid w:val="00635C32"/>
    <w:rsid w:val="00635E4D"/>
    <w:rsid w:val="006360DE"/>
    <w:rsid w:val="0063620C"/>
    <w:rsid w:val="006364FA"/>
    <w:rsid w:val="0063666F"/>
    <w:rsid w:val="006366AC"/>
    <w:rsid w:val="006367EA"/>
    <w:rsid w:val="00636D36"/>
    <w:rsid w:val="00637C79"/>
    <w:rsid w:val="00637E18"/>
    <w:rsid w:val="00637F59"/>
    <w:rsid w:val="0064032E"/>
    <w:rsid w:val="0064038D"/>
    <w:rsid w:val="006409F3"/>
    <w:rsid w:val="00640CCA"/>
    <w:rsid w:val="00640CDF"/>
    <w:rsid w:val="00641079"/>
    <w:rsid w:val="00641A0B"/>
    <w:rsid w:val="00641D4C"/>
    <w:rsid w:val="00641D5A"/>
    <w:rsid w:val="00641E06"/>
    <w:rsid w:val="00642050"/>
    <w:rsid w:val="006421D5"/>
    <w:rsid w:val="00642E4D"/>
    <w:rsid w:val="00643007"/>
    <w:rsid w:val="006431D0"/>
    <w:rsid w:val="006432C5"/>
    <w:rsid w:val="006436FA"/>
    <w:rsid w:val="00643852"/>
    <w:rsid w:val="00643C27"/>
    <w:rsid w:val="00643E69"/>
    <w:rsid w:val="00644024"/>
    <w:rsid w:val="006440BB"/>
    <w:rsid w:val="00644491"/>
    <w:rsid w:val="00644C83"/>
    <w:rsid w:val="00644DD5"/>
    <w:rsid w:val="0064549C"/>
    <w:rsid w:val="006454AA"/>
    <w:rsid w:val="006455E7"/>
    <w:rsid w:val="00645758"/>
    <w:rsid w:val="006457F5"/>
    <w:rsid w:val="0064597B"/>
    <w:rsid w:val="00645E56"/>
    <w:rsid w:val="006461A1"/>
    <w:rsid w:val="00646731"/>
    <w:rsid w:val="00646942"/>
    <w:rsid w:val="00646D50"/>
    <w:rsid w:val="00646EA0"/>
    <w:rsid w:val="00647422"/>
    <w:rsid w:val="006476C0"/>
    <w:rsid w:val="00647781"/>
    <w:rsid w:val="00647BF8"/>
    <w:rsid w:val="00647E6B"/>
    <w:rsid w:val="00647F9C"/>
    <w:rsid w:val="0065001D"/>
    <w:rsid w:val="006505DE"/>
    <w:rsid w:val="00650707"/>
    <w:rsid w:val="00650ACF"/>
    <w:rsid w:val="00650E84"/>
    <w:rsid w:val="00651297"/>
    <w:rsid w:val="0065198B"/>
    <w:rsid w:val="00651DC3"/>
    <w:rsid w:val="006525AF"/>
    <w:rsid w:val="0065266A"/>
    <w:rsid w:val="00652B8B"/>
    <w:rsid w:val="00652EAB"/>
    <w:rsid w:val="00652F3A"/>
    <w:rsid w:val="0065303F"/>
    <w:rsid w:val="0065368B"/>
    <w:rsid w:val="0065373C"/>
    <w:rsid w:val="00653C58"/>
    <w:rsid w:val="00653F9C"/>
    <w:rsid w:val="00654185"/>
    <w:rsid w:val="0065430D"/>
    <w:rsid w:val="006544E7"/>
    <w:rsid w:val="006546AC"/>
    <w:rsid w:val="006547AC"/>
    <w:rsid w:val="006550FA"/>
    <w:rsid w:val="00655470"/>
    <w:rsid w:val="006559CD"/>
    <w:rsid w:val="00656772"/>
    <w:rsid w:val="00656A6E"/>
    <w:rsid w:val="00656BDE"/>
    <w:rsid w:val="00656FEE"/>
    <w:rsid w:val="00657481"/>
    <w:rsid w:val="0065758F"/>
    <w:rsid w:val="006577DB"/>
    <w:rsid w:val="00657FDD"/>
    <w:rsid w:val="006603A9"/>
    <w:rsid w:val="00660897"/>
    <w:rsid w:val="00661028"/>
    <w:rsid w:val="006610E5"/>
    <w:rsid w:val="006617BD"/>
    <w:rsid w:val="006618A3"/>
    <w:rsid w:val="0066194D"/>
    <w:rsid w:val="006621D9"/>
    <w:rsid w:val="006625C9"/>
    <w:rsid w:val="00662773"/>
    <w:rsid w:val="0066296D"/>
    <w:rsid w:val="00662AF9"/>
    <w:rsid w:val="00663F9D"/>
    <w:rsid w:val="00664189"/>
    <w:rsid w:val="00664289"/>
    <w:rsid w:val="00664695"/>
    <w:rsid w:val="00664840"/>
    <w:rsid w:val="0066485E"/>
    <w:rsid w:val="00664B44"/>
    <w:rsid w:val="00664BA0"/>
    <w:rsid w:val="00665151"/>
    <w:rsid w:val="00665246"/>
    <w:rsid w:val="0066525A"/>
    <w:rsid w:val="006652BF"/>
    <w:rsid w:val="006655FF"/>
    <w:rsid w:val="00665AAA"/>
    <w:rsid w:val="00665B7D"/>
    <w:rsid w:val="00665B91"/>
    <w:rsid w:val="0066630C"/>
    <w:rsid w:val="00666BBE"/>
    <w:rsid w:val="00666C5A"/>
    <w:rsid w:val="00667271"/>
    <w:rsid w:val="00667405"/>
    <w:rsid w:val="00667543"/>
    <w:rsid w:val="00667874"/>
    <w:rsid w:val="0066790C"/>
    <w:rsid w:val="00667BBD"/>
    <w:rsid w:val="00667D9C"/>
    <w:rsid w:val="00667E6E"/>
    <w:rsid w:val="00670A57"/>
    <w:rsid w:val="00670AAE"/>
    <w:rsid w:val="00670BAB"/>
    <w:rsid w:val="00670F01"/>
    <w:rsid w:val="00671149"/>
    <w:rsid w:val="00671615"/>
    <w:rsid w:val="0067161D"/>
    <w:rsid w:val="00671741"/>
    <w:rsid w:val="00671766"/>
    <w:rsid w:val="0067228D"/>
    <w:rsid w:val="00672375"/>
    <w:rsid w:val="00672914"/>
    <w:rsid w:val="00672C1A"/>
    <w:rsid w:val="00672F01"/>
    <w:rsid w:val="0067305C"/>
    <w:rsid w:val="00673074"/>
    <w:rsid w:val="006731FE"/>
    <w:rsid w:val="0067411D"/>
    <w:rsid w:val="00674224"/>
    <w:rsid w:val="00674386"/>
    <w:rsid w:val="006744C3"/>
    <w:rsid w:val="00674B3A"/>
    <w:rsid w:val="00674D43"/>
    <w:rsid w:val="0067537F"/>
    <w:rsid w:val="0067575A"/>
    <w:rsid w:val="00675C9F"/>
    <w:rsid w:val="00676410"/>
    <w:rsid w:val="00676720"/>
    <w:rsid w:val="00676D99"/>
    <w:rsid w:val="006770AD"/>
    <w:rsid w:val="0067711E"/>
    <w:rsid w:val="0067733E"/>
    <w:rsid w:val="00677442"/>
    <w:rsid w:val="006775A2"/>
    <w:rsid w:val="00680509"/>
    <w:rsid w:val="00680593"/>
    <w:rsid w:val="006805CB"/>
    <w:rsid w:val="00680662"/>
    <w:rsid w:val="006809B0"/>
    <w:rsid w:val="00680B44"/>
    <w:rsid w:val="006812B5"/>
    <w:rsid w:val="00681695"/>
    <w:rsid w:val="00681BB8"/>
    <w:rsid w:val="00681CB7"/>
    <w:rsid w:val="00681CC1"/>
    <w:rsid w:val="0068233B"/>
    <w:rsid w:val="00682A91"/>
    <w:rsid w:val="00682D3C"/>
    <w:rsid w:val="00682E11"/>
    <w:rsid w:val="00683081"/>
    <w:rsid w:val="00683886"/>
    <w:rsid w:val="00683B60"/>
    <w:rsid w:val="00683B7E"/>
    <w:rsid w:val="00684049"/>
    <w:rsid w:val="00684922"/>
    <w:rsid w:val="00684C95"/>
    <w:rsid w:val="00684CD9"/>
    <w:rsid w:val="00684E77"/>
    <w:rsid w:val="006850D3"/>
    <w:rsid w:val="00685249"/>
    <w:rsid w:val="0068532B"/>
    <w:rsid w:val="006856B9"/>
    <w:rsid w:val="006857F6"/>
    <w:rsid w:val="00685B53"/>
    <w:rsid w:val="00685BDE"/>
    <w:rsid w:val="00685C80"/>
    <w:rsid w:val="00685D86"/>
    <w:rsid w:val="00685F8E"/>
    <w:rsid w:val="00686085"/>
    <w:rsid w:val="0068636D"/>
    <w:rsid w:val="00686525"/>
    <w:rsid w:val="00686F20"/>
    <w:rsid w:val="00687038"/>
    <w:rsid w:val="0068787A"/>
    <w:rsid w:val="00687C0D"/>
    <w:rsid w:val="00687E16"/>
    <w:rsid w:val="00690184"/>
    <w:rsid w:val="00690AAE"/>
    <w:rsid w:val="00690F29"/>
    <w:rsid w:val="00691237"/>
    <w:rsid w:val="00691253"/>
    <w:rsid w:val="00691304"/>
    <w:rsid w:val="00691B50"/>
    <w:rsid w:val="00691DA3"/>
    <w:rsid w:val="006920E6"/>
    <w:rsid w:val="0069232F"/>
    <w:rsid w:val="006924D1"/>
    <w:rsid w:val="00692555"/>
    <w:rsid w:val="00692C1E"/>
    <w:rsid w:val="00692E38"/>
    <w:rsid w:val="00692F21"/>
    <w:rsid w:val="00692FC2"/>
    <w:rsid w:val="00693190"/>
    <w:rsid w:val="006933F0"/>
    <w:rsid w:val="00693B12"/>
    <w:rsid w:val="0069432C"/>
    <w:rsid w:val="006943A1"/>
    <w:rsid w:val="00694991"/>
    <w:rsid w:val="00694ACB"/>
    <w:rsid w:val="00694C4F"/>
    <w:rsid w:val="00695043"/>
    <w:rsid w:val="00695100"/>
    <w:rsid w:val="006957B2"/>
    <w:rsid w:val="0069587D"/>
    <w:rsid w:val="00695AF3"/>
    <w:rsid w:val="00696566"/>
    <w:rsid w:val="006966BA"/>
    <w:rsid w:val="006966F9"/>
    <w:rsid w:val="0069722D"/>
    <w:rsid w:val="00697972"/>
    <w:rsid w:val="006A0052"/>
    <w:rsid w:val="006A0A9E"/>
    <w:rsid w:val="006A1517"/>
    <w:rsid w:val="006A160B"/>
    <w:rsid w:val="006A1F1C"/>
    <w:rsid w:val="006A242B"/>
    <w:rsid w:val="006A2486"/>
    <w:rsid w:val="006A263E"/>
    <w:rsid w:val="006A2DDE"/>
    <w:rsid w:val="006A30FE"/>
    <w:rsid w:val="006A3263"/>
    <w:rsid w:val="006A3836"/>
    <w:rsid w:val="006A3B52"/>
    <w:rsid w:val="006A3CD5"/>
    <w:rsid w:val="006A3DD3"/>
    <w:rsid w:val="006A4625"/>
    <w:rsid w:val="006A47AE"/>
    <w:rsid w:val="006A4C80"/>
    <w:rsid w:val="006A558F"/>
    <w:rsid w:val="006A57D7"/>
    <w:rsid w:val="006A5B5E"/>
    <w:rsid w:val="006A5C4E"/>
    <w:rsid w:val="006A62A1"/>
    <w:rsid w:val="006A67CB"/>
    <w:rsid w:val="006A6954"/>
    <w:rsid w:val="006A699F"/>
    <w:rsid w:val="006A6DF8"/>
    <w:rsid w:val="006A71EB"/>
    <w:rsid w:val="006A7755"/>
    <w:rsid w:val="006A7803"/>
    <w:rsid w:val="006A7C8E"/>
    <w:rsid w:val="006A7D49"/>
    <w:rsid w:val="006B02A2"/>
    <w:rsid w:val="006B0368"/>
    <w:rsid w:val="006B04B7"/>
    <w:rsid w:val="006B0B98"/>
    <w:rsid w:val="006B0E6D"/>
    <w:rsid w:val="006B0F6E"/>
    <w:rsid w:val="006B137E"/>
    <w:rsid w:val="006B1526"/>
    <w:rsid w:val="006B1B2F"/>
    <w:rsid w:val="006B1D7B"/>
    <w:rsid w:val="006B1E80"/>
    <w:rsid w:val="006B20CD"/>
    <w:rsid w:val="006B229C"/>
    <w:rsid w:val="006B2785"/>
    <w:rsid w:val="006B27D4"/>
    <w:rsid w:val="006B2C9C"/>
    <w:rsid w:val="006B318D"/>
    <w:rsid w:val="006B325D"/>
    <w:rsid w:val="006B3802"/>
    <w:rsid w:val="006B41A1"/>
    <w:rsid w:val="006B41C1"/>
    <w:rsid w:val="006B422E"/>
    <w:rsid w:val="006B4306"/>
    <w:rsid w:val="006B43F6"/>
    <w:rsid w:val="006B48EB"/>
    <w:rsid w:val="006B4C00"/>
    <w:rsid w:val="006B4E12"/>
    <w:rsid w:val="006B4FE1"/>
    <w:rsid w:val="006B4FE5"/>
    <w:rsid w:val="006B56FC"/>
    <w:rsid w:val="006B5C59"/>
    <w:rsid w:val="006B5E91"/>
    <w:rsid w:val="006B6DDA"/>
    <w:rsid w:val="006B73D9"/>
    <w:rsid w:val="006B7421"/>
    <w:rsid w:val="006B748E"/>
    <w:rsid w:val="006B78E7"/>
    <w:rsid w:val="006B7DF0"/>
    <w:rsid w:val="006B7E74"/>
    <w:rsid w:val="006B7F6A"/>
    <w:rsid w:val="006B7FAE"/>
    <w:rsid w:val="006C0070"/>
    <w:rsid w:val="006C0731"/>
    <w:rsid w:val="006C0A61"/>
    <w:rsid w:val="006C0D75"/>
    <w:rsid w:val="006C0EA6"/>
    <w:rsid w:val="006C10CB"/>
    <w:rsid w:val="006C1C48"/>
    <w:rsid w:val="006C2654"/>
    <w:rsid w:val="006C2AE4"/>
    <w:rsid w:val="006C2D7E"/>
    <w:rsid w:val="006C2F20"/>
    <w:rsid w:val="006C34A1"/>
    <w:rsid w:val="006C3618"/>
    <w:rsid w:val="006C37BC"/>
    <w:rsid w:val="006C3C1D"/>
    <w:rsid w:val="006C3E29"/>
    <w:rsid w:val="006C41FF"/>
    <w:rsid w:val="006C43C1"/>
    <w:rsid w:val="006C4738"/>
    <w:rsid w:val="006C475B"/>
    <w:rsid w:val="006C4E9F"/>
    <w:rsid w:val="006C5136"/>
    <w:rsid w:val="006C5145"/>
    <w:rsid w:val="006C565E"/>
    <w:rsid w:val="006C56A9"/>
    <w:rsid w:val="006C5ABF"/>
    <w:rsid w:val="006C5E19"/>
    <w:rsid w:val="006C5FA2"/>
    <w:rsid w:val="006C6301"/>
    <w:rsid w:val="006C65A8"/>
    <w:rsid w:val="006C65C2"/>
    <w:rsid w:val="006C6629"/>
    <w:rsid w:val="006C6A5C"/>
    <w:rsid w:val="006C6AE2"/>
    <w:rsid w:val="006C6AE4"/>
    <w:rsid w:val="006C6B88"/>
    <w:rsid w:val="006C6DC6"/>
    <w:rsid w:val="006C72D8"/>
    <w:rsid w:val="006C7F23"/>
    <w:rsid w:val="006D0254"/>
    <w:rsid w:val="006D05AD"/>
    <w:rsid w:val="006D05CD"/>
    <w:rsid w:val="006D06B2"/>
    <w:rsid w:val="006D096F"/>
    <w:rsid w:val="006D0EC1"/>
    <w:rsid w:val="006D1280"/>
    <w:rsid w:val="006D14A3"/>
    <w:rsid w:val="006D150E"/>
    <w:rsid w:val="006D16C9"/>
    <w:rsid w:val="006D16F8"/>
    <w:rsid w:val="006D1813"/>
    <w:rsid w:val="006D18F7"/>
    <w:rsid w:val="006D1ECF"/>
    <w:rsid w:val="006D24A9"/>
    <w:rsid w:val="006D2AF3"/>
    <w:rsid w:val="006D3124"/>
    <w:rsid w:val="006D33D9"/>
    <w:rsid w:val="006D34AD"/>
    <w:rsid w:val="006D357D"/>
    <w:rsid w:val="006D388E"/>
    <w:rsid w:val="006D3F34"/>
    <w:rsid w:val="006D452D"/>
    <w:rsid w:val="006D4D79"/>
    <w:rsid w:val="006D4EFC"/>
    <w:rsid w:val="006D4FBD"/>
    <w:rsid w:val="006D55E2"/>
    <w:rsid w:val="006D5879"/>
    <w:rsid w:val="006D5913"/>
    <w:rsid w:val="006D5B9B"/>
    <w:rsid w:val="006D5BB2"/>
    <w:rsid w:val="006D5C24"/>
    <w:rsid w:val="006D628F"/>
    <w:rsid w:val="006D63E4"/>
    <w:rsid w:val="006D63FD"/>
    <w:rsid w:val="006D65B4"/>
    <w:rsid w:val="006D6F8B"/>
    <w:rsid w:val="006D754A"/>
    <w:rsid w:val="006D754F"/>
    <w:rsid w:val="006D79CC"/>
    <w:rsid w:val="006D7B2E"/>
    <w:rsid w:val="006D7B9C"/>
    <w:rsid w:val="006E02E4"/>
    <w:rsid w:val="006E04C6"/>
    <w:rsid w:val="006E0A33"/>
    <w:rsid w:val="006E0A65"/>
    <w:rsid w:val="006E0CEE"/>
    <w:rsid w:val="006E0D48"/>
    <w:rsid w:val="006E189E"/>
    <w:rsid w:val="006E1B01"/>
    <w:rsid w:val="006E21E7"/>
    <w:rsid w:val="006E2420"/>
    <w:rsid w:val="006E32B9"/>
    <w:rsid w:val="006E3787"/>
    <w:rsid w:val="006E3E3D"/>
    <w:rsid w:val="006E4836"/>
    <w:rsid w:val="006E499B"/>
    <w:rsid w:val="006E4C11"/>
    <w:rsid w:val="006E5613"/>
    <w:rsid w:val="006E586E"/>
    <w:rsid w:val="006E58A3"/>
    <w:rsid w:val="006E5DDD"/>
    <w:rsid w:val="006E5EE2"/>
    <w:rsid w:val="006E70F3"/>
    <w:rsid w:val="006E7721"/>
    <w:rsid w:val="006E7811"/>
    <w:rsid w:val="006E7DB9"/>
    <w:rsid w:val="006F02AE"/>
    <w:rsid w:val="006F04DA"/>
    <w:rsid w:val="006F0557"/>
    <w:rsid w:val="006F059C"/>
    <w:rsid w:val="006F0A16"/>
    <w:rsid w:val="006F0A7F"/>
    <w:rsid w:val="006F0EA3"/>
    <w:rsid w:val="006F19F7"/>
    <w:rsid w:val="006F1A75"/>
    <w:rsid w:val="006F1B1C"/>
    <w:rsid w:val="006F1B5D"/>
    <w:rsid w:val="006F1B9A"/>
    <w:rsid w:val="006F1D9E"/>
    <w:rsid w:val="006F212B"/>
    <w:rsid w:val="006F21C4"/>
    <w:rsid w:val="006F266C"/>
    <w:rsid w:val="006F2957"/>
    <w:rsid w:val="006F3650"/>
    <w:rsid w:val="006F37F7"/>
    <w:rsid w:val="006F385A"/>
    <w:rsid w:val="006F4186"/>
    <w:rsid w:val="006F4259"/>
    <w:rsid w:val="006F44B5"/>
    <w:rsid w:val="006F4870"/>
    <w:rsid w:val="006F4A61"/>
    <w:rsid w:val="006F4ADC"/>
    <w:rsid w:val="006F4C77"/>
    <w:rsid w:val="006F531C"/>
    <w:rsid w:val="006F539C"/>
    <w:rsid w:val="006F593E"/>
    <w:rsid w:val="006F5F69"/>
    <w:rsid w:val="006F643D"/>
    <w:rsid w:val="006F6663"/>
    <w:rsid w:val="006F6759"/>
    <w:rsid w:val="006F675C"/>
    <w:rsid w:val="006F6A10"/>
    <w:rsid w:val="006F6B7E"/>
    <w:rsid w:val="006F6D13"/>
    <w:rsid w:val="006F6FE2"/>
    <w:rsid w:val="006F7759"/>
    <w:rsid w:val="006F7D95"/>
    <w:rsid w:val="006F7DFF"/>
    <w:rsid w:val="00700715"/>
    <w:rsid w:val="00700B65"/>
    <w:rsid w:val="00700BAB"/>
    <w:rsid w:val="00700D41"/>
    <w:rsid w:val="00701773"/>
    <w:rsid w:val="00701B21"/>
    <w:rsid w:val="00701B88"/>
    <w:rsid w:val="00701D45"/>
    <w:rsid w:val="00701FA4"/>
    <w:rsid w:val="00702384"/>
    <w:rsid w:val="00702732"/>
    <w:rsid w:val="007027BB"/>
    <w:rsid w:val="007028B9"/>
    <w:rsid w:val="00702A55"/>
    <w:rsid w:val="00702ECC"/>
    <w:rsid w:val="007035B4"/>
    <w:rsid w:val="00703E28"/>
    <w:rsid w:val="00704387"/>
    <w:rsid w:val="00704BAE"/>
    <w:rsid w:val="00704BB5"/>
    <w:rsid w:val="007057FB"/>
    <w:rsid w:val="00705807"/>
    <w:rsid w:val="00705959"/>
    <w:rsid w:val="00705C3F"/>
    <w:rsid w:val="00705C74"/>
    <w:rsid w:val="00705C78"/>
    <w:rsid w:val="007060E1"/>
    <w:rsid w:val="0070664E"/>
    <w:rsid w:val="00706824"/>
    <w:rsid w:val="00706B85"/>
    <w:rsid w:val="00706F24"/>
    <w:rsid w:val="00707091"/>
    <w:rsid w:val="007071FC"/>
    <w:rsid w:val="007076F4"/>
    <w:rsid w:val="00707B56"/>
    <w:rsid w:val="00707C84"/>
    <w:rsid w:val="00710204"/>
    <w:rsid w:val="00710323"/>
    <w:rsid w:val="007107DF"/>
    <w:rsid w:val="00710A59"/>
    <w:rsid w:val="00710D43"/>
    <w:rsid w:val="00710FDE"/>
    <w:rsid w:val="00711261"/>
    <w:rsid w:val="0071127B"/>
    <w:rsid w:val="007116C7"/>
    <w:rsid w:val="00711C5A"/>
    <w:rsid w:val="0071234A"/>
    <w:rsid w:val="00712381"/>
    <w:rsid w:val="00712405"/>
    <w:rsid w:val="00712B66"/>
    <w:rsid w:val="00712EB6"/>
    <w:rsid w:val="00713669"/>
    <w:rsid w:val="00713755"/>
    <w:rsid w:val="00713B4C"/>
    <w:rsid w:val="00713C31"/>
    <w:rsid w:val="00713F12"/>
    <w:rsid w:val="00713FBA"/>
    <w:rsid w:val="0071428D"/>
    <w:rsid w:val="0071444A"/>
    <w:rsid w:val="007144C9"/>
    <w:rsid w:val="0071479C"/>
    <w:rsid w:val="007152C7"/>
    <w:rsid w:val="00715B73"/>
    <w:rsid w:val="00715BDC"/>
    <w:rsid w:val="00716266"/>
    <w:rsid w:val="0071658B"/>
    <w:rsid w:val="00716B3C"/>
    <w:rsid w:val="007170C2"/>
    <w:rsid w:val="00717448"/>
    <w:rsid w:val="00717677"/>
    <w:rsid w:val="007176E5"/>
    <w:rsid w:val="00717E66"/>
    <w:rsid w:val="00717EE4"/>
    <w:rsid w:val="00717F2D"/>
    <w:rsid w:val="00720453"/>
    <w:rsid w:val="007206E1"/>
    <w:rsid w:val="00720853"/>
    <w:rsid w:val="00720A01"/>
    <w:rsid w:val="00720D69"/>
    <w:rsid w:val="00720FF4"/>
    <w:rsid w:val="00721033"/>
    <w:rsid w:val="00721063"/>
    <w:rsid w:val="0072119A"/>
    <w:rsid w:val="00721771"/>
    <w:rsid w:val="007219BE"/>
    <w:rsid w:val="00721D23"/>
    <w:rsid w:val="00721D7A"/>
    <w:rsid w:val="00721F8E"/>
    <w:rsid w:val="00722129"/>
    <w:rsid w:val="00722197"/>
    <w:rsid w:val="00722829"/>
    <w:rsid w:val="00722981"/>
    <w:rsid w:val="00722E8B"/>
    <w:rsid w:val="0072344D"/>
    <w:rsid w:val="007239B3"/>
    <w:rsid w:val="00723CEE"/>
    <w:rsid w:val="00723D16"/>
    <w:rsid w:val="00723F2C"/>
    <w:rsid w:val="00724173"/>
    <w:rsid w:val="0072450F"/>
    <w:rsid w:val="007245B3"/>
    <w:rsid w:val="00724795"/>
    <w:rsid w:val="00724A45"/>
    <w:rsid w:val="00724A88"/>
    <w:rsid w:val="00724EC2"/>
    <w:rsid w:val="00726730"/>
    <w:rsid w:val="0072698B"/>
    <w:rsid w:val="00726CD5"/>
    <w:rsid w:val="00726F80"/>
    <w:rsid w:val="00727A4B"/>
    <w:rsid w:val="00727BAE"/>
    <w:rsid w:val="00730598"/>
    <w:rsid w:val="00730B7B"/>
    <w:rsid w:val="00730E13"/>
    <w:rsid w:val="007313AD"/>
    <w:rsid w:val="00731A32"/>
    <w:rsid w:val="00731C24"/>
    <w:rsid w:val="0073218C"/>
    <w:rsid w:val="007322E1"/>
    <w:rsid w:val="00732325"/>
    <w:rsid w:val="0073257E"/>
    <w:rsid w:val="00732A32"/>
    <w:rsid w:val="00732F4D"/>
    <w:rsid w:val="00733066"/>
    <w:rsid w:val="007333CB"/>
    <w:rsid w:val="0073345B"/>
    <w:rsid w:val="00733469"/>
    <w:rsid w:val="00733539"/>
    <w:rsid w:val="00733762"/>
    <w:rsid w:val="007345B4"/>
    <w:rsid w:val="0073486E"/>
    <w:rsid w:val="00734A4F"/>
    <w:rsid w:val="00734EE3"/>
    <w:rsid w:val="00735424"/>
    <w:rsid w:val="0073543E"/>
    <w:rsid w:val="00735557"/>
    <w:rsid w:val="00735DB7"/>
    <w:rsid w:val="007360A6"/>
    <w:rsid w:val="007360D6"/>
    <w:rsid w:val="00736383"/>
    <w:rsid w:val="00736C8C"/>
    <w:rsid w:val="00736DBE"/>
    <w:rsid w:val="00737108"/>
    <w:rsid w:val="00737325"/>
    <w:rsid w:val="0073736F"/>
    <w:rsid w:val="007379CE"/>
    <w:rsid w:val="00737BB4"/>
    <w:rsid w:val="00737C4B"/>
    <w:rsid w:val="00737E60"/>
    <w:rsid w:val="00741495"/>
    <w:rsid w:val="00741719"/>
    <w:rsid w:val="007419A7"/>
    <w:rsid w:val="00741B21"/>
    <w:rsid w:val="00741DD8"/>
    <w:rsid w:val="00741E49"/>
    <w:rsid w:val="0074250D"/>
    <w:rsid w:val="007425B6"/>
    <w:rsid w:val="00743F52"/>
    <w:rsid w:val="007445E2"/>
    <w:rsid w:val="00744927"/>
    <w:rsid w:val="00744CC3"/>
    <w:rsid w:val="00744FBE"/>
    <w:rsid w:val="0074509C"/>
    <w:rsid w:val="00745496"/>
    <w:rsid w:val="007454F0"/>
    <w:rsid w:val="00745F96"/>
    <w:rsid w:val="007460DA"/>
    <w:rsid w:val="0074663F"/>
    <w:rsid w:val="007468AB"/>
    <w:rsid w:val="00746C7A"/>
    <w:rsid w:val="0074705B"/>
    <w:rsid w:val="007470EC"/>
    <w:rsid w:val="00747534"/>
    <w:rsid w:val="0075020B"/>
    <w:rsid w:val="00750456"/>
    <w:rsid w:val="00751017"/>
    <w:rsid w:val="00751960"/>
    <w:rsid w:val="00751AFE"/>
    <w:rsid w:val="00752677"/>
    <w:rsid w:val="00752B6F"/>
    <w:rsid w:val="00752DC5"/>
    <w:rsid w:val="007535C7"/>
    <w:rsid w:val="00753ACC"/>
    <w:rsid w:val="00753CE2"/>
    <w:rsid w:val="007545C3"/>
    <w:rsid w:val="007549DB"/>
    <w:rsid w:val="00754FE2"/>
    <w:rsid w:val="007551B1"/>
    <w:rsid w:val="0075523E"/>
    <w:rsid w:val="00755D2D"/>
    <w:rsid w:val="00755FC8"/>
    <w:rsid w:val="0075618F"/>
    <w:rsid w:val="00756551"/>
    <w:rsid w:val="0075680E"/>
    <w:rsid w:val="00756B63"/>
    <w:rsid w:val="00757352"/>
    <w:rsid w:val="00757618"/>
    <w:rsid w:val="00757769"/>
    <w:rsid w:val="00757947"/>
    <w:rsid w:val="0076067E"/>
    <w:rsid w:val="007609BD"/>
    <w:rsid w:val="007609D1"/>
    <w:rsid w:val="00760A09"/>
    <w:rsid w:val="00760FD4"/>
    <w:rsid w:val="007613FA"/>
    <w:rsid w:val="0076163A"/>
    <w:rsid w:val="00761BFD"/>
    <w:rsid w:val="00761D16"/>
    <w:rsid w:val="00761D5C"/>
    <w:rsid w:val="00761EAA"/>
    <w:rsid w:val="00761FE5"/>
    <w:rsid w:val="00762476"/>
    <w:rsid w:val="00762A18"/>
    <w:rsid w:val="00762A9D"/>
    <w:rsid w:val="00762CD5"/>
    <w:rsid w:val="0076345B"/>
    <w:rsid w:val="00763AE2"/>
    <w:rsid w:val="00763B2D"/>
    <w:rsid w:val="00763B65"/>
    <w:rsid w:val="00763FA6"/>
    <w:rsid w:val="007641D6"/>
    <w:rsid w:val="0076467D"/>
    <w:rsid w:val="00764A03"/>
    <w:rsid w:val="00764B33"/>
    <w:rsid w:val="00764B4C"/>
    <w:rsid w:val="007650AD"/>
    <w:rsid w:val="00765111"/>
    <w:rsid w:val="00765950"/>
    <w:rsid w:val="00765F61"/>
    <w:rsid w:val="00766094"/>
    <w:rsid w:val="00766272"/>
    <w:rsid w:val="00766C74"/>
    <w:rsid w:val="00766D90"/>
    <w:rsid w:val="00766FE7"/>
    <w:rsid w:val="007670EB"/>
    <w:rsid w:val="007671F7"/>
    <w:rsid w:val="00767431"/>
    <w:rsid w:val="00767695"/>
    <w:rsid w:val="00767AB5"/>
    <w:rsid w:val="00767C19"/>
    <w:rsid w:val="00767CFB"/>
    <w:rsid w:val="00767D4E"/>
    <w:rsid w:val="00767E95"/>
    <w:rsid w:val="00770762"/>
    <w:rsid w:val="00770958"/>
    <w:rsid w:val="00771067"/>
    <w:rsid w:val="007714B4"/>
    <w:rsid w:val="007715C1"/>
    <w:rsid w:val="007722ED"/>
    <w:rsid w:val="007727EB"/>
    <w:rsid w:val="007728F5"/>
    <w:rsid w:val="00773040"/>
    <w:rsid w:val="00773880"/>
    <w:rsid w:val="00773A85"/>
    <w:rsid w:val="0077408B"/>
    <w:rsid w:val="0077453D"/>
    <w:rsid w:val="007747EA"/>
    <w:rsid w:val="00774AF6"/>
    <w:rsid w:val="00774EC8"/>
    <w:rsid w:val="00775064"/>
    <w:rsid w:val="00775116"/>
    <w:rsid w:val="0077512E"/>
    <w:rsid w:val="00775D7B"/>
    <w:rsid w:val="00776122"/>
    <w:rsid w:val="00776443"/>
    <w:rsid w:val="00776781"/>
    <w:rsid w:val="007769EE"/>
    <w:rsid w:val="00776A84"/>
    <w:rsid w:val="00777598"/>
    <w:rsid w:val="007776CC"/>
    <w:rsid w:val="0077780C"/>
    <w:rsid w:val="00777C84"/>
    <w:rsid w:val="00777CE9"/>
    <w:rsid w:val="00780A22"/>
    <w:rsid w:val="00780D05"/>
    <w:rsid w:val="00780E29"/>
    <w:rsid w:val="00781712"/>
    <w:rsid w:val="00781D01"/>
    <w:rsid w:val="00782080"/>
    <w:rsid w:val="00782594"/>
    <w:rsid w:val="00782ACE"/>
    <w:rsid w:val="00782BF6"/>
    <w:rsid w:val="00783C7B"/>
    <w:rsid w:val="0078497D"/>
    <w:rsid w:val="00784FB7"/>
    <w:rsid w:val="0078556C"/>
    <w:rsid w:val="007855C5"/>
    <w:rsid w:val="0078561B"/>
    <w:rsid w:val="007856D3"/>
    <w:rsid w:val="0078594E"/>
    <w:rsid w:val="00785ABD"/>
    <w:rsid w:val="007860AD"/>
    <w:rsid w:val="007860C6"/>
    <w:rsid w:val="00786254"/>
    <w:rsid w:val="00786414"/>
    <w:rsid w:val="00786646"/>
    <w:rsid w:val="0078664D"/>
    <w:rsid w:val="00786B81"/>
    <w:rsid w:val="00786C94"/>
    <w:rsid w:val="00786DB0"/>
    <w:rsid w:val="00787158"/>
    <w:rsid w:val="007877AC"/>
    <w:rsid w:val="00787844"/>
    <w:rsid w:val="007879E3"/>
    <w:rsid w:val="00787A7A"/>
    <w:rsid w:val="00787B58"/>
    <w:rsid w:val="00787D47"/>
    <w:rsid w:val="00787EED"/>
    <w:rsid w:val="0079014E"/>
    <w:rsid w:val="00790A3D"/>
    <w:rsid w:val="00790CEC"/>
    <w:rsid w:val="0079139B"/>
    <w:rsid w:val="0079148B"/>
    <w:rsid w:val="00791B19"/>
    <w:rsid w:val="00791F7C"/>
    <w:rsid w:val="00792837"/>
    <w:rsid w:val="00792971"/>
    <w:rsid w:val="00792DB2"/>
    <w:rsid w:val="00792FB7"/>
    <w:rsid w:val="007935C6"/>
    <w:rsid w:val="00793625"/>
    <w:rsid w:val="00793657"/>
    <w:rsid w:val="007939EE"/>
    <w:rsid w:val="00793A56"/>
    <w:rsid w:val="00793B5B"/>
    <w:rsid w:val="00793DDF"/>
    <w:rsid w:val="00794129"/>
    <w:rsid w:val="00794253"/>
    <w:rsid w:val="007943B2"/>
    <w:rsid w:val="00794516"/>
    <w:rsid w:val="00794595"/>
    <w:rsid w:val="00794790"/>
    <w:rsid w:val="0079483A"/>
    <w:rsid w:val="0079483B"/>
    <w:rsid w:val="00794878"/>
    <w:rsid w:val="00794DEF"/>
    <w:rsid w:val="00794FB6"/>
    <w:rsid w:val="00795512"/>
    <w:rsid w:val="00795649"/>
    <w:rsid w:val="00795656"/>
    <w:rsid w:val="007959CE"/>
    <w:rsid w:val="00795AB7"/>
    <w:rsid w:val="00795E37"/>
    <w:rsid w:val="0079604E"/>
    <w:rsid w:val="0079694C"/>
    <w:rsid w:val="00796D89"/>
    <w:rsid w:val="00796DA2"/>
    <w:rsid w:val="00797764"/>
    <w:rsid w:val="00797E5A"/>
    <w:rsid w:val="00797F17"/>
    <w:rsid w:val="007A01B8"/>
    <w:rsid w:val="007A02EF"/>
    <w:rsid w:val="007A0415"/>
    <w:rsid w:val="007A06BA"/>
    <w:rsid w:val="007A1EB6"/>
    <w:rsid w:val="007A22BA"/>
    <w:rsid w:val="007A27BD"/>
    <w:rsid w:val="007A294A"/>
    <w:rsid w:val="007A4084"/>
    <w:rsid w:val="007A4769"/>
    <w:rsid w:val="007A4C75"/>
    <w:rsid w:val="007A4C96"/>
    <w:rsid w:val="007A4FF5"/>
    <w:rsid w:val="007A5085"/>
    <w:rsid w:val="007A50D9"/>
    <w:rsid w:val="007A51A6"/>
    <w:rsid w:val="007A523D"/>
    <w:rsid w:val="007A5629"/>
    <w:rsid w:val="007A56E5"/>
    <w:rsid w:val="007A60CA"/>
    <w:rsid w:val="007A6768"/>
    <w:rsid w:val="007A6A2F"/>
    <w:rsid w:val="007A6F0F"/>
    <w:rsid w:val="007A708C"/>
    <w:rsid w:val="007A75B5"/>
    <w:rsid w:val="007A76C4"/>
    <w:rsid w:val="007A7753"/>
    <w:rsid w:val="007A7985"/>
    <w:rsid w:val="007A7ABE"/>
    <w:rsid w:val="007A7F2A"/>
    <w:rsid w:val="007B03C5"/>
    <w:rsid w:val="007B0489"/>
    <w:rsid w:val="007B04F0"/>
    <w:rsid w:val="007B06CC"/>
    <w:rsid w:val="007B092E"/>
    <w:rsid w:val="007B117C"/>
    <w:rsid w:val="007B1626"/>
    <w:rsid w:val="007B1B3E"/>
    <w:rsid w:val="007B1E44"/>
    <w:rsid w:val="007B20E1"/>
    <w:rsid w:val="007B26E1"/>
    <w:rsid w:val="007B3045"/>
    <w:rsid w:val="007B31A3"/>
    <w:rsid w:val="007B32F9"/>
    <w:rsid w:val="007B35D4"/>
    <w:rsid w:val="007B37D4"/>
    <w:rsid w:val="007B43E1"/>
    <w:rsid w:val="007B45E4"/>
    <w:rsid w:val="007B4B6C"/>
    <w:rsid w:val="007B4C0F"/>
    <w:rsid w:val="007B5A6D"/>
    <w:rsid w:val="007B5E25"/>
    <w:rsid w:val="007B6164"/>
    <w:rsid w:val="007B6CF5"/>
    <w:rsid w:val="007B6E0E"/>
    <w:rsid w:val="007B734C"/>
    <w:rsid w:val="007B79FD"/>
    <w:rsid w:val="007B7CA6"/>
    <w:rsid w:val="007B7EDB"/>
    <w:rsid w:val="007B7F1E"/>
    <w:rsid w:val="007C0322"/>
    <w:rsid w:val="007C0BBE"/>
    <w:rsid w:val="007C0E17"/>
    <w:rsid w:val="007C1548"/>
    <w:rsid w:val="007C16A3"/>
    <w:rsid w:val="007C17D2"/>
    <w:rsid w:val="007C1B8B"/>
    <w:rsid w:val="007C247F"/>
    <w:rsid w:val="007C25AF"/>
    <w:rsid w:val="007C27FB"/>
    <w:rsid w:val="007C2CBB"/>
    <w:rsid w:val="007C2CF9"/>
    <w:rsid w:val="007C2FF0"/>
    <w:rsid w:val="007C309C"/>
    <w:rsid w:val="007C31E9"/>
    <w:rsid w:val="007C41AF"/>
    <w:rsid w:val="007C4209"/>
    <w:rsid w:val="007C44CC"/>
    <w:rsid w:val="007C4DE0"/>
    <w:rsid w:val="007C4F7D"/>
    <w:rsid w:val="007C51E8"/>
    <w:rsid w:val="007C544B"/>
    <w:rsid w:val="007C5DAA"/>
    <w:rsid w:val="007C5EB9"/>
    <w:rsid w:val="007C6C07"/>
    <w:rsid w:val="007C7046"/>
    <w:rsid w:val="007C7449"/>
    <w:rsid w:val="007C7994"/>
    <w:rsid w:val="007C7EA5"/>
    <w:rsid w:val="007D0BF0"/>
    <w:rsid w:val="007D0EFC"/>
    <w:rsid w:val="007D1129"/>
    <w:rsid w:val="007D1A95"/>
    <w:rsid w:val="007D2009"/>
    <w:rsid w:val="007D2192"/>
    <w:rsid w:val="007D23F2"/>
    <w:rsid w:val="007D245E"/>
    <w:rsid w:val="007D2B99"/>
    <w:rsid w:val="007D3244"/>
    <w:rsid w:val="007D3764"/>
    <w:rsid w:val="007D485A"/>
    <w:rsid w:val="007D4C9B"/>
    <w:rsid w:val="007D4CA4"/>
    <w:rsid w:val="007D4DB2"/>
    <w:rsid w:val="007D54FF"/>
    <w:rsid w:val="007D55A0"/>
    <w:rsid w:val="007D563F"/>
    <w:rsid w:val="007D57D4"/>
    <w:rsid w:val="007D6315"/>
    <w:rsid w:val="007D63AC"/>
    <w:rsid w:val="007D724A"/>
    <w:rsid w:val="007D75A3"/>
    <w:rsid w:val="007D7A0D"/>
    <w:rsid w:val="007E0225"/>
    <w:rsid w:val="007E0970"/>
    <w:rsid w:val="007E0A4D"/>
    <w:rsid w:val="007E0BEE"/>
    <w:rsid w:val="007E16E2"/>
    <w:rsid w:val="007E19FE"/>
    <w:rsid w:val="007E1AAC"/>
    <w:rsid w:val="007E1E6C"/>
    <w:rsid w:val="007E23DD"/>
    <w:rsid w:val="007E3683"/>
    <w:rsid w:val="007E3856"/>
    <w:rsid w:val="007E3B9C"/>
    <w:rsid w:val="007E3FFD"/>
    <w:rsid w:val="007E4535"/>
    <w:rsid w:val="007E4A2F"/>
    <w:rsid w:val="007E4BA8"/>
    <w:rsid w:val="007E4D4A"/>
    <w:rsid w:val="007E4E8B"/>
    <w:rsid w:val="007E4E9F"/>
    <w:rsid w:val="007E5010"/>
    <w:rsid w:val="007E51AD"/>
    <w:rsid w:val="007E5267"/>
    <w:rsid w:val="007E5763"/>
    <w:rsid w:val="007E5C4A"/>
    <w:rsid w:val="007E5D8E"/>
    <w:rsid w:val="007E608B"/>
    <w:rsid w:val="007E6699"/>
    <w:rsid w:val="007E66BF"/>
    <w:rsid w:val="007E6915"/>
    <w:rsid w:val="007E69A4"/>
    <w:rsid w:val="007E6AF5"/>
    <w:rsid w:val="007E6B71"/>
    <w:rsid w:val="007E74CA"/>
    <w:rsid w:val="007E7AD3"/>
    <w:rsid w:val="007E7C53"/>
    <w:rsid w:val="007E7DB3"/>
    <w:rsid w:val="007F0070"/>
    <w:rsid w:val="007F0175"/>
    <w:rsid w:val="007F0441"/>
    <w:rsid w:val="007F0A0E"/>
    <w:rsid w:val="007F0E99"/>
    <w:rsid w:val="007F1CE5"/>
    <w:rsid w:val="007F1F35"/>
    <w:rsid w:val="007F20F1"/>
    <w:rsid w:val="007F28F1"/>
    <w:rsid w:val="007F2BE4"/>
    <w:rsid w:val="007F309B"/>
    <w:rsid w:val="007F3283"/>
    <w:rsid w:val="007F336E"/>
    <w:rsid w:val="007F39C6"/>
    <w:rsid w:val="007F3F71"/>
    <w:rsid w:val="007F4224"/>
    <w:rsid w:val="007F4DD2"/>
    <w:rsid w:val="007F4FB9"/>
    <w:rsid w:val="007F5571"/>
    <w:rsid w:val="007F6899"/>
    <w:rsid w:val="007F6D72"/>
    <w:rsid w:val="007F7022"/>
    <w:rsid w:val="007F7690"/>
    <w:rsid w:val="007F786C"/>
    <w:rsid w:val="007F78AA"/>
    <w:rsid w:val="007F7AF4"/>
    <w:rsid w:val="00800411"/>
    <w:rsid w:val="00800556"/>
    <w:rsid w:val="008005A0"/>
    <w:rsid w:val="00800660"/>
    <w:rsid w:val="00800BE4"/>
    <w:rsid w:val="008011CC"/>
    <w:rsid w:val="00801404"/>
    <w:rsid w:val="008017AA"/>
    <w:rsid w:val="00801A00"/>
    <w:rsid w:val="00801CBA"/>
    <w:rsid w:val="00801D92"/>
    <w:rsid w:val="00801E97"/>
    <w:rsid w:val="008020C4"/>
    <w:rsid w:val="0080237C"/>
    <w:rsid w:val="008024B4"/>
    <w:rsid w:val="00802827"/>
    <w:rsid w:val="00802CA8"/>
    <w:rsid w:val="00802CF7"/>
    <w:rsid w:val="00802E42"/>
    <w:rsid w:val="00802F89"/>
    <w:rsid w:val="0080311B"/>
    <w:rsid w:val="0080319C"/>
    <w:rsid w:val="008034CE"/>
    <w:rsid w:val="00804BCF"/>
    <w:rsid w:val="00804FA4"/>
    <w:rsid w:val="008050BB"/>
    <w:rsid w:val="00805275"/>
    <w:rsid w:val="00805F77"/>
    <w:rsid w:val="0080617E"/>
    <w:rsid w:val="008065B7"/>
    <w:rsid w:val="00806A62"/>
    <w:rsid w:val="00806C6B"/>
    <w:rsid w:val="00806E55"/>
    <w:rsid w:val="00806F37"/>
    <w:rsid w:val="008075CE"/>
    <w:rsid w:val="00807776"/>
    <w:rsid w:val="00807AD9"/>
    <w:rsid w:val="008101EA"/>
    <w:rsid w:val="00810745"/>
    <w:rsid w:val="00810F20"/>
    <w:rsid w:val="0081118B"/>
    <w:rsid w:val="00811442"/>
    <w:rsid w:val="0081150D"/>
    <w:rsid w:val="00811E67"/>
    <w:rsid w:val="00811FF6"/>
    <w:rsid w:val="00812179"/>
    <w:rsid w:val="0081223F"/>
    <w:rsid w:val="00812372"/>
    <w:rsid w:val="008124E2"/>
    <w:rsid w:val="00812A91"/>
    <w:rsid w:val="00813054"/>
    <w:rsid w:val="00813530"/>
    <w:rsid w:val="008138AF"/>
    <w:rsid w:val="00813928"/>
    <w:rsid w:val="00814093"/>
    <w:rsid w:val="008149F7"/>
    <w:rsid w:val="00814A28"/>
    <w:rsid w:val="00815075"/>
    <w:rsid w:val="00815321"/>
    <w:rsid w:val="008159B4"/>
    <w:rsid w:val="00815BDF"/>
    <w:rsid w:val="00815C18"/>
    <w:rsid w:val="00815FEF"/>
    <w:rsid w:val="008164EB"/>
    <w:rsid w:val="008166DB"/>
    <w:rsid w:val="00816714"/>
    <w:rsid w:val="00816A6F"/>
    <w:rsid w:val="00816DF4"/>
    <w:rsid w:val="00816E1C"/>
    <w:rsid w:val="00816F82"/>
    <w:rsid w:val="00817049"/>
    <w:rsid w:val="008173E0"/>
    <w:rsid w:val="008175C1"/>
    <w:rsid w:val="008200D4"/>
    <w:rsid w:val="00820370"/>
    <w:rsid w:val="008206D9"/>
    <w:rsid w:val="00820C8B"/>
    <w:rsid w:val="00820CC6"/>
    <w:rsid w:val="00820F93"/>
    <w:rsid w:val="008210EF"/>
    <w:rsid w:val="00821CBF"/>
    <w:rsid w:val="00821E44"/>
    <w:rsid w:val="008220B6"/>
    <w:rsid w:val="00822748"/>
    <w:rsid w:val="00822C41"/>
    <w:rsid w:val="00822D80"/>
    <w:rsid w:val="008231B6"/>
    <w:rsid w:val="00823323"/>
    <w:rsid w:val="008234EF"/>
    <w:rsid w:val="0082366E"/>
    <w:rsid w:val="008237BC"/>
    <w:rsid w:val="00823AB5"/>
    <w:rsid w:val="008249AD"/>
    <w:rsid w:val="00824B30"/>
    <w:rsid w:val="00824C14"/>
    <w:rsid w:val="00824DD8"/>
    <w:rsid w:val="00825043"/>
    <w:rsid w:val="00825267"/>
    <w:rsid w:val="00825619"/>
    <w:rsid w:val="00825782"/>
    <w:rsid w:val="00825D94"/>
    <w:rsid w:val="008260B8"/>
    <w:rsid w:val="00826347"/>
    <w:rsid w:val="008263C4"/>
    <w:rsid w:val="0082646B"/>
    <w:rsid w:val="008264EC"/>
    <w:rsid w:val="0082663C"/>
    <w:rsid w:val="00826676"/>
    <w:rsid w:val="008266E2"/>
    <w:rsid w:val="008267E9"/>
    <w:rsid w:val="008268E4"/>
    <w:rsid w:val="00826AB4"/>
    <w:rsid w:val="00826B4A"/>
    <w:rsid w:val="00826C88"/>
    <w:rsid w:val="00826D30"/>
    <w:rsid w:val="00826F8D"/>
    <w:rsid w:val="00827605"/>
    <w:rsid w:val="00827C0D"/>
    <w:rsid w:val="00830642"/>
    <w:rsid w:val="00830B39"/>
    <w:rsid w:val="00830CB8"/>
    <w:rsid w:val="00831250"/>
    <w:rsid w:val="00831D8D"/>
    <w:rsid w:val="00832AF4"/>
    <w:rsid w:val="008333B7"/>
    <w:rsid w:val="00833685"/>
    <w:rsid w:val="008336EC"/>
    <w:rsid w:val="008337B9"/>
    <w:rsid w:val="00833D18"/>
    <w:rsid w:val="00833E61"/>
    <w:rsid w:val="0083489A"/>
    <w:rsid w:val="00834992"/>
    <w:rsid w:val="00834CA1"/>
    <w:rsid w:val="00834FD2"/>
    <w:rsid w:val="00835084"/>
    <w:rsid w:val="00835184"/>
    <w:rsid w:val="00835449"/>
    <w:rsid w:val="00835569"/>
    <w:rsid w:val="00835802"/>
    <w:rsid w:val="00836295"/>
    <w:rsid w:val="008365E0"/>
    <w:rsid w:val="00836D81"/>
    <w:rsid w:val="008370EE"/>
    <w:rsid w:val="008371CE"/>
    <w:rsid w:val="00837215"/>
    <w:rsid w:val="0083773B"/>
    <w:rsid w:val="00837814"/>
    <w:rsid w:val="00840118"/>
    <w:rsid w:val="008405B5"/>
    <w:rsid w:val="0084093F"/>
    <w:rsid w:val="0084098A"/>
    <w:rsid w:val="00840DB0"/>
    <w:rsid w:val="00840EDE"/>
    <w:rsid w:val="008418A5"/>
    <w:rsid w:val="00841BEC"/>
    <w:rsid w:val="00842B74"/>
    <w:rsid w:val="00843298"/>
    <w:rsid w:val="00843548"/>
    <w:rsid w:val="0084383C"/>
    <w:rsid w:val="008438E4"/>
    <w:rsid w:val="0084394A"/>
    <w:rsid w:val="00843CC0"/>
    <w:rsid w:val="00844ADD"/>
    <w:rsid w:val="0084534E"/>
    <w:rsid w:val="00845C7C"/>
    <w:rsid w:val="00845DED"/>
    <w:rsid w:val="00845F7D"/>
    <w:rsid w:val="00846062"/>
    <w:rsid w:val="00846603"/>
    <w:rsid w:val="00846C29"/>
    <w:rsid w:val="008474C1"/>
    <w:rsid w:val="008477ED"/>
    <w:rsid w:val="00847C1C"/>
    <w:rsid w:val="0085055E"/>
    <w:rsid w:val="0085076C"/>
    <w:rsid w:val="00850C3B"/>
    <w:rsid w:val="00851067"/>
    <w:rsid w:val="008510D0"/>
    <w:rsid w:val="00851605"/>
    <w:rsid w:val="00852169"/>
    <w:rsid w:val="00852293"/>
    <w:rsid w:val="0085288A"/>
    <w:rsid w:val="00852CA0"/>
    <w:rsid w:val="00852D85"/>
    <w:rsid w:val="00852F12"/>
    <w:rsid w:val="00852F6C"/>
    <w:rsid w:val="008533A9"/>
    <w:rsid w:val="00853DF9"/>
    <w:rsid w:val="008540F9"/>
    <w:rsid w:val="0085465C"/>
    <w:rsid w:val="0085490A"/>
    <w:rsid w:val="00854967"/>
    <w:rsid w:val="00854FCD"/>
    <w:rsid w:val="0085540B"/>
    <w:rsid w:val="00855511"/>
    <w:rsid w:val="008556F1"/>
    <w:rsid w:val="0085582C"/>
    <w:rsid w:val="0085583A"/>
    <w:rsid w:val="00855DA6"/>
    <w:rsid w:val="00855F0B"/>
    <w:rsid w:val="00855FC9"/>
    <w:rsid w:val="00855FD3"/>
    <w:rsid w:val="008568E0"/>
    <w:rsid w:val="0085698D"/>
    <w:rsid w:val="00857086"/>
    <w:rsid w:val="00857572"/>
    <w:rsid w:val="0086077B"/>
    <w:rsid w:val="00860D3B"/>
    <w:rsid w:val="00860F4D"/>
    <w:rsid w:val="008611DE"/>
    <w:rsid w:val="00861375"/>
    <w:rsid w:val="00861B7E"/>
    <w:rsid w:val="00861C56"/>
    <w:rsid w:val="00861E00"/>
    <w:rsid w:val="00861F29"/>
    <w:rsid w:val="008620A2"/>
    <w:rsid w:val="008621B5"/>
    <w:rsid w:val="008621CC"/>
    <w:rsid w:val="00862698"/>
    <w:rsid w:val="00862741"/>
    <w:rsid w:val="008627E7"/>
    <w:rsid w:val="00862854"/>
    <w:rsid w:val="00862BBD"/>
    <w:rsid w:val="008637CE"/>
    <w:rsid w:val="008638F3"/>
    <w:rsid w:val="00863C9F"/>
    <w:rsid w:val="008645D6"/>
    <w:rsid w:val="008645FE"/>
    <w:rsid w:val="0086552B"/>
    <w:rsid w:val="008655A2"/>
    <w:rsid w:val="00865787"/>
    <w:rsid w:val="0086584F"/>
    <w:rsid w:val="008659F6"/>
    <w:rsid w:val="00865A2A"/>
    <w:rsid w:val="00866157"/>
    <w:rsid w:val="00866FAA"/>
    <w:rsid w:val="008671C7"/>
    <w:rsid w:val="008674D3"/>
    <w:rsid w:val="008675D8"/>
    <w:rsid w:val="008677AC"/>
    <w:rsid w:val="00867B09"/>
    <w:rsid w:val="00867EB8"/>
    <w:rsid w:val="00867F16"/>
    <w:rsid w:val="00870335"/>
    <w:rsid w:val="008703D0"/>
    <w:rsid w:val="00870AA2"/>
    <w:rsid w:val="00870B25"/>
    <w:rsid w:val="00870BC6"/>
    <w:rsid w:val="00870BD5"/>
    <w:rsid w:val="00871101"/>
    <w:rsid w:val="00871299"/>
    <w:rsid w:val="008712ED"/>
    <w:rsid w:val="00871348"/>
    <w:rsid w:val="008714B3"/>
    <w:rsid w:val="0087156D"/>
    <w:rsid w:val="0087184A"/>
    <w:rsid w:val="00871987"/>
    <w:rsid w:val="008722E6"/>
    <w:rsid w:val="00872A60"/>
    <w:rsid w:val="00872D65"/>
    <w:rsid w:val="00873D88"/>
    <w:rsid w:val="0087433B"/>
    <w:rsid w:val="00874B72"/>
    <w:rsid w:val="00874C6D"/>
    <w:rsid w:val="00874ECC"/>
    <w:rsid w:val="00874FC9"/>
    <w:rsid w:val="00875EF1"/>
    <w:rsid w:val="0087621E"/>
    <w:rsid w:val="008765E4"/>
    <w:rsid w:val="00876755"/>
    <w:rsid w:val="008767B2"/>
    <w:rsid w:val="008768BE"/>
    <w:rsid w:val="00876954"/>
    <w:rsid w:val="008772A9"/>
    <w:rsid w:val="00877328"/>
    <w:rsid w:val="0087787A"/>
    <w:rsid w:val="00877C99"/>
    <w:rsid w:val="008802F0"/>
    <w:rsid w:val="00880992"/>
    <w:rsid w:val="00880DEA"/>
    <w:rsid w:val="00880E57"/>
    <w:rsid w:val="0088112F"/>
    <w:rsid w:val="008812F1"/>
    <w:rsid w:val="0088151D"/>
    <w:rsid w:val="008815B7"/>
    <w:rsid w:val="00881692"/>
    <w:rsid w:val="008816DB"/>
    <w:rsid w:val="00881B3D"/>
    <w:rsid w:val="008824EA"/>
    <w:rsid w:val="0088258E"/>
    <w:rsid w:val="00882F8D"/>
    <w:rsid w:val="00883143"/>
    <w:rsid w:val="00883431"/>
    <w:rsid w:val="00884209"/>
    <w:rsid w:val="008842AB"/>
    <w:rsid w:val="008844BF"/>
    <w:rsid w:val="00884B57"/>
    <w:rsid w:val="00885726"/>
    <w:rsid w:val="00885DCB"/>
    <w:rsid w:val="00886154"/>
    <w:rsid w:val="00886401"/>
    <w:rsid w:val="00886977"/>
    <w:rsid w:val="00887032"/>
    <w:rsid w:val="00887AEC"/>
    <w:rsid w:val="008900A4"/>
    <w:rsid w:val="0089015D"/>
    <w:rsid w:val="00890277"/>
    <w:rsid w:val="0089061A"/>
    <w:rsid w:val="0089072C"/>
    <w:rsid w:val="00890CF8"/>
    <w:rsid w:val="00890EED"/>
    <w:rsid w:val="00890F3B"/>
    <w:rsid w:val="0089105E"/>
    <w:rsid w:val="00891168"/>
    <w:rsid w:val="008915C6"/>
    <w:rsid w:val="00891677"/>
    <w:rsid w:val="008916CF"/>
    <w:rsid w:val="008918CC"/>
    <w:rsid w:val="00891AA6"/>
    <w:rsid w:val="00892542"/>
    <w:rsid w:val="008929F4"/>
    <w:rsid w:val="00892CF6"/>
    <w:rsid w:val="00892DB5"/>
    <w:rsid w:val="0089427C"/>
    <w:rsid w:val="00894491"/>
    <w:rsid w:val="00894766"/>
    <w:rsid w:val="008948B1"/>
    <w:rsid w:val="00894B61"/>
    <w:rsid w:val="00894FA4"/>
    <w:rsid w:val="0089518E"/>
    <w:rsid w:val="00895255"/>
    <w:rsid w:val="00895B81"/>
    <w:rsid w:val="00895DF1"/>
    <w:rsid w:val="00896645"/>
    <w:rsid w:val="00896C02"/>
    <w:rsid w:val="0089714F"/>
    <w:rsid w:val="008975D2"/>
    <w:rsid w:val="00897A43"/>
    <w:rsid w:val="008A035B"/>
    <w:rsid w:val="008A044B"/>
    <w:rsid w:val="008A0459"/>
    <w:rsid w:val="008A0A9B"/>
    <w:rsid w:val="008A0E9D"/>
    <w:rsid w:val="008A109A"/>
    <w:rsid w:val="008A1218"/>
    <w:rsid w:val="008A14D2"/>
    <w:rsid w:val="008A157E"/>
    <w:rsid w:val="008A15B6"/>
    <w:rsid w:val="008A188B"/>
    <w:rsid w:val="008A18F3"/>
    <w:rsid w:val="008A1A6E"/>
    <w:rsid w:val="008A1C70"/>
    <w:rsid w:val="008A1CE1"/>
    <w:rsid w:val="008A202A"/>
    <w:rsid w:val="008A2D5D"/>
    <w:rsid w:val="008A2E77"/>
    <w:rsid w:val="008A30D5"/>
    <w:rsid w:val="008A330F"/>
    <w:rsid w:val="008A36C9"/>
    <w:rsid w:val="008A3715"/>
    <w:rsid w:val="008A3793"/>
    <w:rsid w:val="008A3ED4"/>
    <w:rsid w:val="008A52FD"/>
    <w:rsid w:val="008A5AF9"/>
    <w:rsid w:val="008A5C6D"/>
    <w:rsid w:val="008A6309"/>
    <w:rsid w:val="008A6BDD"/>
    <w:rsid w:val="008A6EC4"/>
    <w:rsid w:val="008A702A"/>
    <w:rsid w:val="008A7BD2"/>
    <w:rsid w:val="008A7F40"/>
    <w:rsid w:val="008B007B"/>
    <w:rsid w:val="008B0EBD"/>
    <w:rsid w:val="008B16DE"/>
    <w:rsid w:val="008B1D11"/>
    <w:rsid w:val="008B1F68"/>
    <w:rsid w:val="008B24ED"/>
    <w:rsid w:val="008B251F"/>
    <w:rsid w:val="008B2602"/>
    <w:rsid w:val="008B26E4"/>
    <w:rsid w:val="008B2727"/>
    <w:rsid w:val="008B27F1"/>
    <w:rsid w:val="008B2CAD"/>
    <w:rsid w:val="008B316B"/>
    <w:rsid w:val="008B3DC4"/>
    <w:rsid w:val="008B497B"/>
    <w:rsid w:val="008B5059"/>
    <w:rsid w:val="008B50DF"/>
    <w:rsid w:val="008B5BF2"/>
    <w:rsid w:val="008B5E49"/>
    <w:rsid w:val="008B6128"/>
    <w:rsid w:val="008B6205"/>
    <w:rsid w:val="008B6934"/>
    <w:rsid w:val="008B6A8C"/>
    <w:rsid w:val="008B6CF8"/>
    <w:rsid w:val="008B6F31"/>
    <w:rsid w:val="008B72F6"/>
    <w:rsid w:val="008B73D6"/>
    <w:rsid w:val="008B7465"/>
    <w:rsid w:val="008B763C"/>
    <w:rsid w:val="008B7780"/>
    <w:rsid w:val="008B79C8"/>
    <w:rsid w:val="008B7B73"/>
    <w:rsid w:val="008C03E7"/>
    <w:rsid w:val="008C119E"/>
    <w:rsid w:val="008C1328"/>
    <w:rsid w:val="008C14AF"/>
    <w:rsid w:val="008C14D1"/>
    <w:rsid w:val="008C18EF"/>
    <w:rsid w:val="008C19C8"/>
    <w:rsid w:val="008C1A7F"/>
    <w:rsid w:val="008C1C20"/>
    <w:rsid w:val="008C1D90"/>
    <w:rsid w:val="008C1DEE"/>
    <w:rsid w:val="008C1E24"/>
    <w:rsid w:val="008C21A6"/>
    <w:rsid w:val="008C2931"/>
    <w:rsid w:val="008C296B"/>
    <w:rsid w:val="008C2A46"/>
    <w:rsid w:val="008C2A74"/>
    <w:rsid w:val="008C2E33"/>
    <w:rsid w:val="008C37E4"/>
    <w:rsid w:val="008C3A89"/>
    <w:rsid w:val="008C4278"/>
    <w:rsid w:val="008C46DF"/>
    <w:rsid w:val="008C48AB"/>
    <w:rsid w:val="008C4B92"/>
    <w:rsid w:val="008C520E"/>
    <w:rsid w:val="008C535F"/>
    <w:rsid w:val="008C563B"/>
    <w:rsid w:val="008C5664"/>
    <w:rsid w:val="008C567E"/>
    <w:rsid w:val="008C5DEE"/>
    <w:rsid w:val="008C5F22"/>
    <w:rsid w:val="008C6285"/>
    <w:rsid w:val="008C62FF"/>
    <w:rsid w:val="008C6730"/>
    <w:rsid w:val="008C675E"/>
    <w:rsid w:val="008C68C4"/>
    <w:rsid w:val="008C6B66"/>
    <w:rsid w:val="008C6FE5"/>
    <w:rsid w:val="008C7182"/>
    <w:rsid w:val="008C7268"/>
    <w:rsid w:val="008C7386"/>
    <w:rsid w:val="008C75AA"/>
    <w:rsid w:val="008C7C26"/>
    <w:rsid w:val="008C7CA5"/>
    <w:rsid w:val="008C7D9D"/>
    <w:rsid w:val="008D016A"/>
    <w:rsid w:val="008D0416"/>
    <w:rsid w:val="008D0BC7"/>
    <w:rsid w:val="008D0C7B"/>
    <w:rsid w:val="008D13C6"/>
    <w:rsid w:val="008D1B04"/>
    <w:rsid w:val="008D267A"/>
    <w:rsid w:val="008D26C1"/>
    <w:rsid w:val="008D2C06"/>
    <w:rsid w:val="008D3023"/>
    <w:rsid w:val="008D3235"/>
    <w:rsid w:val="008D33C8"/>
    <w:rsid w:val="008D3611"/>
    <w:rsid w:val="008D3893"/>
    <w:rsid w:val="008D38EF"/>
    <w:rsid w:val="008D45CD"/>
    <w:rsid w:val="008D4B81"/>
    <w:rsid w:val="008D5081"/>
    <w:rsid w:val="008D55F1"/>
    <w:rsid w:val="008D5856"/>
    <w:rsid w:val="008D5CD7"/>
    <w:rsid w:val="008D5EEB"/>
    <w:rsid w:val="008D6381"/>
    <w:rsid w:val="008D6AD2"/>
    <w:rsid w:val="008D6FA8"/>
    <w:rsid w:val="008D718E"/>
    <w:rsid w:val="008D7335"/>
    <w:rsid w:val="008D765F"/>
    <w:rsid w:val="008D76EC"/>
    <w:rsid w:val="008D7C09"/>
    <w:rsid w:val="008D7E67"/>
    <w:rsid w:val="008E03D1"/>
    <w:rsid w:val="008E03F8"/>
    <w:rsid w:val="008E09C5"/>
    <w:rsid w:val="008E0AA7"/>
    <w:rsid w:val="008E0D0F"/>
    <w:rsid w:val="008E0D84"/>
    <w:rsid w:val="008E1603"/>
    <w:rsid w:val="008E1C6D"/>
    <w:rsid w:val="008E2355"/>
    <w:rsid w:val="008E3151"/>
    <w:rsid w:val="008E3283"/>
    <w:rsid w:val="008E3322"/>
    <w:rsid w:val="008E3386"/>
    <w:rsid w:val="008E3723"/>
    <w:rsid w:val="008E3A17"/>
    <w:rsid w:val="008E3CAA"/>
    <w:rsid w:val="008E3F3A"/>
    <w:rsid w:val="008E430A"/>
    <w:rsid w:val="008E4C24"/>
    <w:rsid w:val="008E5410"/>
    <w:rsid w:val="008E5A3F"/>
    <w:rsid w:val="008E6B34"/>
    <w:rsid w:val="008E7209"/>
    <w:rsid w:val="008E7448"/>
    <w:rsid w:val="008F11BB"/>
    <w:rsid w:val="008F16FF"/>
    <w:rsid w:val="008F177E"/>
    <w:rsid w:val="008F182F"/>
    <w:rsid w:val="008F1E95"/>
    <w:rsid w:val="008F1FAA"/>
    <w:rsid w:val="008F2228"/>
    <w:rsid w:val="008F2304"/>
    <w:rsid w:val="008F248E"/>
    <w:rsid w:val="008F259E"/>
    <w:rsid w:val="008F33E7"/>
    <w:rsid w:val="008F385D"/>
    <w:rsid w:val="008F4439"/>
    <w:rsid w:val="008F5172"/>
    <w:rsid w:val="008F57DD"/>
    <w:rsid w:val="008F5AEE"/>
    <w:rsid w:val="008F5C36"/>
    <w:rsid w:val="008F622B"/>
    <w:rsid w:val="008F6810"/>
    <w:rsid w:val="008F6C2A"/>
    <w:rsid w:val="008F6C4B"/>
    <w:rsid w:val="008F6EAA"/>
    <w:rsid w:val="008F6F89"/>
    <w:rsid w:val="008F769F"/>
    <w:rsid w:val="008F77B1"/>
    <w:rsid w:val="008F7800"/>
    <w:rsid w:val="008F7BCA"/>
    <w:rsid w:val="008F7DC8"/>
    <w:rsid w:val="00900436"/>
    <w:rsid w:val="00900696"/>
    <w:rsid w:val="0090084E"/>
    <w:rsid w:val="00900A67"/>
    <w:rsid w:val="00900F4D"/>
    <w:rsid w:val="009011C4"/>
    <w:rsid w:val="0090167B"/>
    <w:rsid w:val="00901C47"/>
    <w:rsid w:val="009024AA"/>
    <w:rsid w:val="00902DEC"/>
    <w:rsid w:val="00903079"/>
    <w:rsid w:val="009031F9"/>
    <w:rsid w:val="0090342E"/>
    <w:rsid w:val="00903598"/>
    <w:rsid w:val="009036ED"/>
    <w:rsid w:val="00903D3A"/>
    <w:rsid w:val="009044B9"/>
    <w:rsid w:val="009047B1"/>
    <w:rsid w:val="00904A49"/>
    <w:rsid w:val="00904C59"/>
    <w:rsid w:val="00904C86"/>
    <w:rsid w:val="009051EF"/>
    <w:rsid w:val="009052FF"/>
    <w:rsid w:val="009055C9"/>
    <w:rsid w:val="00905B83"/>
    <w:rsid w:val="009062A3"/>
    <w:rsid w:val="0090647D"/>
    <w:rsid w:val="009064A0"/>
    <w:rsid w:val="0090680D"/>
    <w:rsid w:val="00906AA2"/>
    <w:rsid w:val="00906C63"/>
    <w:rsid w:val="0090701E"/>
    <w:rsid w:val="00907700"/>
    <w:rsid w:val="0090781B"/>
    <w:rsid w:val="009078D6"/>
    <w:rsid w:val="009103E3"/>
    <w:rsid w:val="0091045D"/>
    <w:rsid w:val="00910F0B"/>
    <w:rsid w:val="00911439"/>
    <w:rsid w:val="0091181C"/>
    <w:rsid w:val="00911EDF"/>
    <w:rsid w:val="00912267"/>
    <w:rsid w:val="009123BB"/>
    <w:rsid w:val="0091281A"/>
    <w:rsid w:val="009128B7"/>
    <w:rsid w:val="00912B24"/>
    <w:rsid w:val="00913203"/>
    <w:rsid w:val="00913418"/>
    <w:rsid w:val="009137B8"/>
    <w:rsid w:val="00913907"/>
    <w:rsid w:val="009139B5"/>
    <w:rsid w:val="00913D5D"/>
    <w:rsid w:val="0091413A"/>
    <w:rsid w:val="00914514"/>
    <w:rsid w:val="00914549"/>
    <w:rsid w:val="00914A47"/>
    <w:rsid w:val="00914C08"/>
    <w:rsid w:val="00914E6D"/>
    <w:rsid w:val="00914F2F"/>
    <w:rsid w:val="009151CE"/>
    <w:rsid w:val="009154A1"/>
    <w:rsid w:val="009159FB"/>
    <w:rsid w:val="00915B30"/>
    <w:rsid w:val="00916057"/>
    <w:rsid w:val="00916520"/>
    <w:rsid w:val="00916AD1"/>
    <w:rsid w:val="00917422"/>
    <w:rsid w:val="00917637"/>
    <w:rsid w:val="00917918"/>
    <w:rsid w:val="00917DE7"/>
    <w:rsid w:val="00917FEE"/>
    <w:rsid w:val="009201E0"/>
    <w:rsid w:val="0092023D"/>
    <w:rsid w:val="00920472"/>
    <w:rsid w:val="009207E9"/>
    <w:rsid w:val="00920B4B"/>
    <w:rsid w:val="00920D7A"/>
    <w:rsid w:val="00921251"/>
    <w:rsid w:val="00921861"/>
    <w:rsid w:val="0092189E"/>
    <w:rsid w:val="00921965"/>
    <w:rsid w:val="009219E8"/>
    <w:rsid w:val="009219FD"/>
    <w:rsid w:val="00921DF7"/>
    <w:rsid w:val="009223C4"/>
    <w:rsid w:val="00922C7A"/>
    <w:rsid w:val="00922C88"/>
    <w:rsid w:val="00923027"/>
    <w:rsid w:val="009236CC"/>
    <w:rsid w:val="00923780"/>
    <w:rsid w:val="0092378A"/>
    <w:rsid w:val="00923AF1"/>
    <w:rsid w:val="00923FDC"/>
    <w:rsid w:val="0092514B"/>
    <w:rsid w:val="009253E3"/>
    <w:rsid w:val="009253ED"/>
    <w:rsid w:val="009257B0"/>
    <w:rsid w:val="009258BD"/>
    <w:rsid w:val="00925DEB"/>
    <w:rsid w:val="00925F82"/>
    <w:rsid w:val="00926075"/>
    <w:rsid w:val="009262E4"/>
    <w:rsid w:val="009263C0"/>
    <w:rsid w:val="00926503"/>
    <w:rsid w:val="009266C7"/>
    <w:rsid w:val="00926874"/>
    <w:rsid w:val="00926BAE"/>
    <w:rsid w:val="00926ED3"/>
    <w:rsid w:val="00926EE5"/>
    <w:rsid w:val="0092762E"/>
    <w:rsid w:val="00927667"/>
    <w:rsid w:val="0092797D"/>
    <w:rsid w:val="00927B63"/>
    <w:rsid w:val="00927F66"/>
    <w:rsid w:val="009302D4"/>
    <w:rsid w:val="0093062A"/>
    <w:rsid w:val="0093075E"/>
    <w:rsid w:val="009307F2"/>
    <w:rsid w:val="00930848"/>
    <w:rsid w:val="00930CEC"/>
    <w:rsid w:val="00930F4A"/>
    <w:rsid w:val="0093124F"/>
    <w:rsid w:val="00931BDC"/>
    <w:rsid w:val="00931FC7"/>
    <w:rsid w:val="009325FC"/>
    <w:rsid w:val="0093292B"/>
    <w:rsid w:val="00932B35"/>
    <w:rsid w:val="0093375E"/>
    <w:rsid w:val="009337EC"/>
    <w:rsid w:val="00933811"/>
    <w:rsid w:val="00933A51"/>
    <w:rsid w:val="00933B57"/>
    <w:rsid w:val="00933BEF"/>
    <w:rsid w:val="00933E08"/>
    <w:rsid w:val="00934030"/>
    <w:rsid w:val="0093446D"/>
    <w:rsid w:val="009344F0"/>
    <w:rsid w:val="00934723"/>
    <w:rsid w:val="00934C57"/>
    <w:rsid w:val="00934F18"/>
    <w:rsid w:val="00935B41"/>
    <w:rsid w:val="00935DBC"/>
    <w:rsid w:val="0093633F"/>
    <w:rsid w:val="009364F6"/>
    <w:rsid w:val="009365D1"/>
    <w:rsid w:val="009366C5"/>
    <w:rsid w:val="00936CBC"/>
    <w:rsid w:val="00936CDC"/>
    <w:rsid w:val="00936E9E"/>
    <w:rsid w:val="00937122"/>
    <w:rsid w:val="0093782E"/>
    <w:rsid w:val="0093787E"/>
    <w:rsid w:val="00937FBC"/>
    <w:rsid w:val="00940143"/>
    <w:rsid w:val="00940AD0"/>
    <w:rsid w:val="009412CC"/>
    <w:rsid w:val="00941348"/>
    <w:rsid w:val="00941DD4"/>
    <w:rsid w:val="00942FDF"/>
    <w:rsid w:val="00943210"/>
    <w:rsid w:val="0094341C"/>
    <w:rsid w:val="0094360C"/>
    <w:rsid w:val="0094388B"/>
    <w:rsid w:val="00943906"/>
    <w:rsid w:val="00943D09"/>
    <w:rsid w:val="009447AB"/>
    <w:rsid w:val="00944826"/>
    <w:rsid w:val="00944B05"/>
    <w:rsid w:val="00944B81"/>
    <w:rsid w:val="00944E16"/>
    <w:rsid w:val="00944E59"/>
    <w:rsid w:val="00945372"/>
    <w:rsid w:val="0094565C"/>
    <w:rsid w:val="009457A1"/>
    <w:rsid w:val="009468C5"/>
    <w:rsid w:val="00946C41"/>
    <w:rsid w:val="00946E5C"/>
    <w:rsid w:val="00947329"/>
    <w:rsid w:val="00947817"/>
    <w:rsid w:val="00947C5D"/>
    <w:rsid w:val="00947CA9"/>
    <w:rsid w:val="00947CB3"/>
    <w:rsid w:val="00950478"/>
    <w:rsid w:val="009506C8"/>
    <w:rsid w:val="00950888"/>
    <w:rsid w:val="009508E2"/>
    <w:rsid w:val="00950AF9"/>
    <w:rsid w:val="00950B5F"/>
    <w:rsid w:val="00950D35"/>
    <w:rsid w:val="00950D57"/>
    <w:rsid w:val="00951104"/>
    <w:rsid w:val="0095144C"/>
    <w:rsid w:val="0095165B"/>
    <w:rsid w:val="00951B17"/>
    <w:rsid w:val="00951B8D"/>
    <w:rsid w:val="00951B9C"/>
    <w:rsid w:val="00951C4B"/>
    <w:rsid w:val="00952090"/>
    <w:rsid w:val="00952160"/>
    <w:rsid w:val="009529CA"/>
    <w:rsid w:val="0095324F"/>
    <w:rsid w:val="00953499"/>
    <w:rsid w:val="009535B1"/>
    <w:rsid w:val="009536A8"/>
    <w:rsid w:val="00953844"/>
    <w:rsid w:val="00953A84"/>
    <w:rsid w:val="00953C89"/>
    <w:rsid w:val="00953D03"/>
    <w:rsid w:val="00954209"/>
    <w:rsid w:val="0095437A"/>
    <w:rsid w:val="0095437D"/>
    <w:rsid w:val="00954596"/>
    <w:rsid w:val="009545A6"/>
    <w:rsid w:val="009549F0"/>
    <w:rsid w:val="00955477"/>
    <w:rsid w:val="00955851"/>
    <w:rsid w:val="00955AE1"/>
    <w:rsid w:val="009566B2"/>
    <w:rsid w:val="00956D8C"/>
    <w:rsid w:val="009575C1"/>
    <w:rsid w:val="00957D29"/>
    <w:rsid w:val="00957E23"/>
    <w:rsid w:val="00957E56"/>
    <w:rsid w:val="00960322"/>
    <w:rsid w:val="00960380"/>
    <w:rsid w:val="0096048F"/>
    <w:rsid w:val="00960602"/>
    <w:rsid w:val="00960805"/>
    <w:rsid w:val="00960852"/>
    <w:rsid w:val="00961487"/>
    <w:rsid w:val="0096189D"/>
    <w:rsid w:val="00961A78"/>
    <w:rsid w:val="00961BA7"/>
    <w:rsid w:val="00961F01"/>
    <w:rsid w:val="00962162"/>
    <w:rsid w:val="009623BC"/>
    <w:rsid w:val="00962701"/>
    <w:rsid w:val="009628B6"/>
    <w:rsid w:val="009628BE"/>
    <w:rsid w:val="00963025"/>
    <w:rsid w:val="009631C8"/>
    <w:rsid w:val="00963282"/>
    <w:rsid w:val="0096340E"/>
    <w:rsid w:val="009634B3"/>
    <w:rsid w:val="009637BA"/>
    <w:rsid w:val="00963AE4"/>
    <w:rsid w:val="00963C14"/>
    <w:rsid w:val="00963F52"/>
    <w:rsid w:val="009645CD"/>
    <w:rsid w:val="00964855"/>
    <w:rsid w:val="00964A3B"/>
    <w:rsid w:val="00964CD4"/>
    <w:rsid w:val="00964F57"/>
    <w:rsid w:val="00965024"/>
    <w:rsid w:val="009650E8"/>
    <w:rsid w:val="009655AC"/>
    <w:rsid w:val="009656DC"/>
    <w:rsid w:val="0096581F"/>
    <w:rsid w:val="00965940"/>
    <w:rsid w:val="00965A4E"/>
    <w:rsid w:val="00966BE5"/>
    <w:rsid w:val="00966DD0"/>
    <w:rsid w:val="00966EB0"/>
    <w:rsid w:val="00970912"/>
    <w:rsid w:val="00971116"/>
    <w:rsid w:val="00971125"/>
    <w:rsid w:val="00971BCF"/>
    <w:rsid w:val="00971D7D"/>
    <w:rsid w:val="00971E61"/>
    <w:rsid w:val="00972285"/>
    <w:rsid w:val="0097267E"/>
    <w:rsid w:val="00972D5F"/>
    <w:rsid w:val="00972E28"/>
    <w:rsid w:val="00973030"/>
    <w:rsid w:val="009733F3"/>
    <w:rsid w:val="00973A22"/>
    <w:rsid w:val="009748E4"/>
    <w:rsid w:val="00974D3C"/>
    <w:rsid w:val="00974FC9"/>
    <w:rsid w:val="0097522F"/>
    <w:rsid w:val="00975335"/>
    <w:rsid w:val="00975DC0"/>
    <w:rsid w:val="00975EC7"/>
    <w:rsid w:val="00976D65"/>
    <w:rsid w:val="00977554"/>
    <w:rsid w:val="00977722"/>
    <w:rsid w:val="00977733"/>
    <w:rsid w:val="00977998"/>
    <w:rsid w:val="00977CE6"/>
    <w:rsid w:val="009807AC"/>
    <w:rsid w:val="009807F5"/>
    <w:rsid w:val="00980BD3"/>
    <w:rsid w:val="00980C18"/>
    <w:rsid w:val="009810E9"/>
    <w:rsid w:val="0098141C"/>
    <w:rsid w:val="00981756"/>
    <w:rsid w:val="00981AA9"/>
    <w:rsid w:val="00981C91"/>
    <w:rsid w:val="00982577"/>
    <w:rsid w:val="00982625"/>
    <w:rsid w:val="00982660"/>
    <w:rsid w:val="00982D11"/>
    <w:rsid w:val="00983132"/>
    <w:rsid w:val="00983314"/>
    <w:rsid w:val="009833E5"/>
    <w:rsid w:val="009838DE"/>
    <w:rsid w:val="00983A6B"/>
    <w:rsid w:val="00983DF2"/>
    <w:rsid w:val="0098433A"/>
    <w:rsid w:val="009844B4"/>
    <w:rsid w:val="0098463A"/>
    <w:rsid w:val="00984692"/>
    <w:rsid w:val="00984AAE"/>
    <w:rsid w:val="00984F39"/>
    <w:rsid w:val="00985675"/>
    <w:rsid w:val="00985785"/>
    <w:rsid w:val="00985939"/>
    <w:rsid w:val="00985B2D"/>
    <w:rsid w:val="0098637F"/>
    <w:rsid w:val="0098665F"/>
    <w:rsid w:val="00986A9B"/>
    <w:rsid w:val="00986B9C"/>
    <w:rsid w:val="00986BA6"/>
    <w:rsid w:val="0098718E"/>
    <w:rsid w:val="009877B1"/>
    <w:rsid w:val="00987BAB"/>
    <w:rsid w:val="0099068C"/>
    <w:rsid w:val="009906BF"/>
    <w:rsid w:val="00990CF5"/>
    <w:rsid w:val="009913F3"/>
    <w:rsid w:val="00991D0E"/>
    <w:rsid w:val="00991DA1"/>
    <w:rsid w:val="00991DED"/>
    <w:rsid w:val="0099259B"/>
    <w:rsid w:val="009927F1"/>
    <w:rsid w:val="009928E7"/>
    <w:rsid w:val="009929B8"/>
    <w:rsid w:val="00992A2B"/>
    <w:rsid w:val="00992F48"/>
    <w:rsid w:val="00993604"/>
    <w:rsid w:val="0099360B"/>
    <w:rsid w:val="009936C4"/>
    <w:rsid w:val="0099400F"/>
    <w:rsid w:val="0099405B"/>
    <w:rsid w:val="0099442E"/>
    <w:rsid w:val="009947EE"/>
    <w:rsid w:val="009948ED"/>
    <w:rsid w:val="00994C9F"/>
    <w:rsid w:val="0099521B"/>
    <w:rsid w:val="00995ADA"/>
    <w:rsid w:val="00995B99"/>
    <w:rsid w:val="009962A9"/>
    <w:rsid w:val="0099643A"/>
    <w:rsid w:val="00996742"/>
    <w:rsid w:val="00997959"/>
    <w:rsid w:val="00997BA5"/>
    <w:rsid w:val="009A0933"/>
    <w:rsid w:val="009A0BAF"/>
    <w:rsid w:val="009A101B"/>
    <w:rsid w:val="009A12E2"/>
    <w:rsid w:val="009A1431"/>
    <w:rsid w:val="009A153D"/>
    <w:rsid w:val="009A1634"/>
    <w:rsid w:val="009A183D"/>
    <w:rsid w:val="009A18B8"/>
    <w:rsid w:val="009A1A43"/>
    <w:rsid w:val="009A1B7C"/>
    <w:rsid w:val="009A2740"/>
    <w:rsid w:val="009A2A75"/>
    <w:rsid w:val="009A2AB7"/>
    <w:rsid w:val="009A2C3A"/>
    <w:rsid w:val="009A3079"/>
    <w:rsid w:val="009A3091"/>
    <w:rsid w:val="009A32E3"/>
    <w:rsid w:val="009A3367"/>
    <w:rsid w:val="009A3654"/>
    <w:rsid w:val="009A3699"/>
    <w:rsid w:val="009A3A34"/>
    <w:rsid w:val="009A3C1A"/>
    <w:rsid w:val="009A3FE2"/>
    <w:rsid w:val="009A400C"/>
    <w:rsid w:val="009A444C"/>
    <w:rsid w:val="009A4B2C"/>
    <w:rsid w:val="009A4BFD"/>
    <w:rsid w:val="009A4FDB"/>
    <w:rsid w:val="009A5014"/>
    <w:rsid w:val="009A5347"/>
    <w:rsid w:val="009A5592"/>
    <w:rsid w:val="009A59BA"/>
    <w:rsid w:val="009A59EB"/>
    <w:rsid w:val="009A6417"/>
    <w:rsid w:val="009A6979"/>
    <w:rsid w:val="009A7450"/>
    <w:rsid w:val="009B01DF"/>
    <w:rsid w:val="009B020D"/>
    <w:rsid w:val="009B072F"/>
    <w:rsid w:val="009B07A1"/>
    <w:rsid w:val="009B08CA"/>
    <w:rsid w:val="009B09CC"/>
    <w:rsid w:val="009B0C11"/>
    <w:rsid w:val="009B118D"/>
    <w:rsid w:val="009B16D4"/>
    <w:rsid w:val="009B173B"/>
    <w:rsid w:val="009B1A1A"/>
    <w:rsid w:val="009B2608"/>
    <w:rsid w:val="009B26B0"/>
    <w:rsid w:val="009B2A71"/>
    <w:rsid w:val="009B31B5"/>
    <w:rsid w:val="009B34ED"/>
    <w:rsid w:val="009B3D30"/>
    <w:rsid w:val="009B4027"/>
    <w:rsid w:val="009B4210"/>
    <w:rsid w:val="009B4975"/>
    <w:rsid w:val="009B4CE2"/>
    <w:rsid w:val="009B4E7E"/>
    <w:rsid w:val="009B5283"/>
    <w:rsid w:val="009B561F"/>
    <w:rsid w:val="009B5773"/>
    <w:rsid w:val="009B5D2D"/>
    <w:rsid w:val="009B5E63"/>
    <w:rsid w:val="009B7923"/>
    <w:rsid w:val="009C058F"/>
    <w:rsid w:val="009C09CB"/>
    <w:rsid w:val="009C09EC"/>
    <w:rsid w:val="009C0AF4"/>
    <w:rsid w:val="009C111F"/>
    <w:rsid w:val="009C1348"/>
    <w:rsid w:val="009C16A7"/>
    <w:rsid w:val="009C2176"/>
    <w:rsid w:val="009C2569"/>
    <w:rsid w:val="009C2729"/>
    <w:rsid w:val="009C28E3"/>
    <w:rsid w:val="009C2B3E"/>
    <w:rsid w:val="009C2D7D"/>
    <w:rsid w:val="009C2EA2"/>
    <w:rsid w:val="009C3721"/>
    <w:rsid w:val="009C3A02"/>
    <w:rsid w:val="009C3C27"/>
    <w:rsid w:val="009C4141"/>
    <w:rsid w:val="009C4315"/>
    <w:rsid w:val="009C4B55"/>
    <w:rsid w:val="009C4B6F"/>
    <w:rsid w:val="009C5310"/>
    <w:rsid w:val="009C5311"/>
    <w:rsid w:val="009C5349"/>
    <w:rsid w:val="009C544C"/>
    <w:rsid w:val="009C5655"/>
    <w:rsid w:val="009C5A92"/>
    <w:rsid w:val="009C5FCC"/>
    <w:rsid w:val="009C61A2"/>
    <w:rsid w:val="009C6202"/>
    <w:rsid w:val="009C6241"/>
    <w:rsid w:val="009C6DF6"/>
    <w:rsid w:val="009C6E92"/>
    <w:rsid w:val="009D011C"/>
    <w:rsid w:val="009D04F7"/>
    <w:rsid w:val="009D1589"/>
    <w:rsid w:val="009D2003"/>
    <w:rsid w:val="009D2106"/>
    <w:rsid w:val="009D26B9"/>
    <w:rsid w:val="009D2C8F"/>
    <w:rsid w:val="009D2E66"/>
    <w:rsid w:val="009D38C2"/>
    <w:rsid w:val="009D3D05"/>
    <w:rsid w:val="009D3F83"/>
    <w:rsid w:val="009D417F"/>
    <w:rsid w:val="009D42B8"/>
    <w:rsid w:val="009D42C6"/>
    <w:rsid w:val="009D45E5"/>
    <w:rsid w:val="009D4B85"/>
    <w:rsid w:val="009D51D2"/>
    <w:rsid w:val="009D535B"/>
    <w:rsid w:val="009D56C3"/>
    <w:rsid w:val="009D59A2"/>
    <w:rsid w:val="009D5A9C"/>
    <w:rsid w:val="009D5B0B"/>
    <w:rsid w:val="009D630B"/>
    <w:rsid w:val="009D6CAA"/>
    <w:rsid w:val="009D6CF6"/>
    <w:rsid w:val="009D6E38"/>
    <w:rsid w:val="009D6E69"/>
    <w:rsid w:val="009D727E"/>
    <w:rsid w:val="009D76C2"/>
    <w:rsid w:val="009D7AEC"/>
    <w:rsid w:val="009D7E97"/>
    <w:rsid w:val="009E02DC"/>
    <w:rsid w:val="009E043F"/>
    <w:rsid w:val="009E0710"/>
    <w:rsid w:val="009E0B5F"/>
    <w:rsid w:val="009E2040"/>
    <w:rsid w:val="009E256E"/>
    <w:rsid w:val="009E29FD"/>
    <w:rsid w:val="009E3746"/>
    <w:rsid w:val="009E38B4"/>
    <w:rsid w:val="009E3F51"/>
    <w:rsid w:val="009E3F9C"/>
    <w:rsid w:val="009E4143"/>
    <w:rsid w:val="009E49AE"/>
    <w:rsid w:val="009E4DC7"/>
    <w:rsid w:val="009E4E1A"/>
    <w:rsid w:val="009E52F1"/>
    <w:rsid w:val="009E5343"/>
    <w:rsid w:val="009E594B"/>
    <w:rsid w:val="009E5BC5"/>
    <w:rsid w:val="009E5C84"/>
    <w:rsid w:val="009E60A9"/>
    <w:rsid w:val="009E660A"/>
    <w:rsid w:val="009E6B64"/>
    <w:rsid w:val="009E72E5"/>
    <w:rsid w:val="009E7368"/>
    <w:rsid w:val="009E7AA9"/>
    <w:rsid w:val="009E7E57"/>
    <w:rsid w:val="009F0A36"/>
    <w:rsid w:val="009F1E4D"/>
    <w:rsid w:val="009F27A3"/>
    <w:rsid w:val="009F28A4"/>
    <w:rsid w:val="009F2D2C"/>
    <w:rsid w:val="009F2DD2"/>
    <w:rsid w:val="009F3D0B"/>
    <w:rsid w:val="009F4349"/>
    <w:rsid w:val="009F4682"/>
    <w:rsid w:val="009F46C8"/>
    <w:rsid w:val="009F4C22"/>
    <w:rsid w:val="009F4D93"/>
    <w:rsid w:val="009F4F2A"/>
    <w:rsid w:val="009F5B5C"/>
    <w:rsid w:val="009F6351"/>
    <w:rsid w:val="009F660B"/>
    <w:rsid w:val="009F671E"/>
    <w:rsid w:val="009F672B"/>
    <w:rsid w:val="009F690E"/>
    <w:rsid w:val="009F6C6A"/>
    <w:rsid w:val="009F6E9C"/>
    <w:rsid w:val="009F7352"/>
    <w:rsid w:val="009F7489"/>
    <w:rsid w:val="009F78C5"/>
    <w:rsid w:val="009F7ED1"/>
    <w:rsid w:val="00A004C9"/>
    <w:rsid w:val="00A0091D"/>
    <w:rsid w:val="00A00970"/>
    <w:rsid w:val="00A0099B"/>
    <w:rsid w:val="00A00D66"/>
    <w:rsid w:val="00A00E5A"/>
    <w:rsid w:val="00A00EE1"/>
    <w:rsid w:val="00A010FA"/>
    <w:rsid w:val="00A011AD"/>
    <w:rsid w:val="00A0149B"/>
    <w:rsid w:val="00A0155B"/>
    <w:rsid w:val="00A015B4"/>
    <w:rsid w:val="00A01607"/>
    <w:rsid w:val="00A016E3"/>
    <w:rsid w:val="00A018D4"/>
    <w:rsid w:val="00A01B48"/>
    <w:rsid w:val="00A01BB7"/>
    <w:rsid w:val="00A01C50"/>
    <w:rsid w:val="00A02441"/>
    <w:rsid w:val="00A0246C"/>
    <w:rsid w:val="00A025B7"/>
    <w:rsid w:val="00A028E6"/>
    <w:rsid w:val="00A029DB"/>
    <w:rsid w:val="00A02C33"/>
    <w:rsid w:val="00A02F9D"/>
    <w:rsid w:val="00A0310B"/>
    <w:rsid w:val="00A03767"/>
    <w:rsid w:val="00A03D39"/>
    <w:rsid w:val="00A04123"/>
    <w:rsid w:val="00A04681"/>
    <w:rsid w:val="00A04834"/>
    <w:rsid w:val="00A04A3E"/>
    <w:rsid w:val="00A04D5A"/>
    <w:rsid w:val="00A04F0E"/>
    <w:rsid w:val="00A054B2"/>
    <w:rsid w:val="00A05628"/>
    <w:rsid w:val="00A065A6"/>
    <w:rsid w:val="00A065B2"/>
    <w:rsid w:val="00A075EA"/>
    <w:rsid w:val="00A076E5"/>
    <w:rsid w:val="00A0778A"/>
    <w:rsid w:val="00A077E4"/>
    <w:rsid w:val="00A0793A"/>
    <w:rsid w:val="00A07D54"/>
    <w:rsid w:val="00A07DCF"/>
    <w:rsid w:val="00A11358"/>
    <w:rsid w:val="00A115A8"/>
    <w:rsid w:val="00A115C5"/>
    <w:rsid w:val="00A1181D"/>
    <w:rsid w:val="00A11994"/>
    <w:rsid w:val="00A11A76"/>
    <w:rsid w:val="00A125ED"/>
    <w:rsid w:val="00A12979"/>
    <w:rsid w:val="00A130A5"/>
    <w:rsid w:val="00A131A9"/>
    <w:rsid w:val="00A13618"/>
    <w:rsid w:val="00A137F5"/>
    <w:rsid w:val="00A13BBF"/>
    <w:rsid w:val="00A141C5"/>
    <w:rsid w:val="00A14304"/>
    <w:rsid w:val="00A1453D"/>
    <w:rsid w:val="00A1496B"/>
    <w:rsid w:val="00A1496E"/>
    <w:rsid w:val="00A14F84"/>
    <w:rsid w:val="00A159E5"/>
    <w:rsid w:val="00A159F8"/>
    <w:rsid w:val="00A16059"/>
    <w:rsid w:val="00A16116"/>
    <w:rsid w:val="00A167C5"/>
    <w:rsid w:val="00A16A4B"/>
    <w:rsid w:val="00A16AFE"/>
    <w:rsid w:val="00A16D6D"/>
    <w:rsid w:val="00A16F66"/>
    <w:rsid w:val="00A172FF"/>
    <w:rsid w:val="00A1740A"/>
    <w:rsid w:val="00A174C7"/>
    <w:rsid w:val="00A17759"/>
    <w:rsid w:val="00A17806"/>
    <w:rsid w:val="00A17C75"/>
    <w:rsid w:val="00A17E43"/>
    <w:rsid w:val="00A204A1"/>
    <w:rsid w:val="00A205AA"/>
    <w:rsid w:val="00A21093"/>
    <w:rsid w:val="00A211C8"/>
    <w:rsid w:val="00A2121E"/>
    <w:rsid w:val="00A2135B"/>
    <w:rsid w:val="00A219F6"/>
    <w:rsid w:val="00A21AB3"/>
    <w:rsid w:val="00A21EAC"/>
    <w:rsid w:val="00A221DE"/>
    <w:rsid w:val="00A223F9"/>
    <w:rsid w:val="00A22CB2"/>
    <w:rsid w:val="00A23138"/>
    <w:rsid w:val="00A23940"/>
    <w:rsid w:val="00A23ECC"/>
    <w:rsid w:val="00A2427C"/>
    <w:rsid w:val="00A2496E"/>
    <w:rsid w:val="00A249D1"/>
    <w:rsid w:val="00A24B93"/>
    <w:rsid w:val="00A24CD3"/>
    <w:rsid w:val="00A24D86"/>
    <w:rsid w:val="00A24DF2"/>
    <w:rsid w:val="00A25145"/>
    <w:rsid w:val="00A25461"/>
    <w:rsid w:val="00A26367"/>
    <w:rsid w:val="00A2678A"/>
    <w:rsid w:val="00A268DE"/>
    <w:rsid w:val="00A269E1"/>
    <w:rsid w:val="00A26B2E"/>
    <w:rsid w:val="00A26C5E"/>
    <w:rsid w:val="00A26F34"/>
    <w:rsid w:val="00A27381"/>
    <w:rsid w:val="00A274E2"/>
    <w:rsid w:val="00A276FD"/>
    <w:rsid w:val="00A279B0"/>
    <w:rsid w:val="00A27C1C"/>
    <w:rsid w:val="00A30068"/>
    <w:rsid w:val="00A30269"/>
    <w:rsid w:val="00A30E0C"/>
    <w:rsid w:val="00A30F6A"/>
    <w:rsid w:val="00A31289"/>
    <w:rsid w:val="00A316F3"/>
    <w:rsid w:val="00A31C04"/>
    <w:rsid w:val="00A32369"/>
    <w:rsid w:val="00A32A0F"/>
    <w:rsid w:val="00A32AEA"/>
    <w:rsid w:val="00A32F32"/>
    <w:rsid w:val="00A33B9A"/>
    <w:rsid w:val="00A33E80"/>
    <w:rsid w:val="00A33EB4"/>
    <w:rsid w:val="00A33EFE"/>
    <w:rsid w:val="00A34D2D"/>
    <w:rsid w:val="00A36075"/>
    <w:rsid w:val="00A3686F"/>
    <w:rsid w:val="00A36A8E"/>
    <w:rsid w:val="00A36FC3"/>
    <w:rsid w:val="00A372F0"/>
    <w:rsid w:val="00A3769B"/>
    <w:rsid w:val="00A379ED"/>
    <w:rsid w:val="00A40165"/>
    <w:rsid w:val="00A40299"/>
    <w:rsid w:val="00A40A5B"/>
    <w:rsid w:val="00A4148D"/>
    <w:rsid w:val="00A41883"/>
    <w:rsid w:val="00A419FC"/>
    <w:rsid w:val="00A41CA5"/>
    <w:rsid w:val="00A42551"/>
    <w:rsid w:val="00A42837"/>
    <w:rsid w:val="00A42E8B"/>
    <w:rsid w:val="00A43684"/>
    <w:rsid w:val="00A43AC9"/>
    <w:rsid w:val="00A440B7"/>
    <w:rsid w:val="00A444AC"/>
    <w:rsid w:val="00A449CC"/>
    <w:rsid w:val="00A44B47"/>
    <w:rsid w:val="00A44D0E"/>
    <w:rsid w:val="00A44D49"/>
    <w:rsid w:val="00A452F5"/>
    <w:rsid w:val="00A454F8"/>
    <w:rsid w:val="00A457FF"/>
    <w:rsid w:val="00A45BA0"/>
    <w:rsid w:val="00A45D19"/>
    <w:rsid w:val="00A45D9B"/>
    <w:rsid w:val="00A45F9D"/>
    <w:rsid w:val="00A46004"/>
    <w:rsid w:val="00A460F3"/>
    <w:rsid w:val="00A4621D"/>
    <w:rsid w:val="00A4667E"/>
    <w:rsid w:val="00A467C9"/>
    <w:rsid w:val="00A467F5"/>
    <w:rsid w:val="00A46B2E"/>
    <w:rsid w:val="00A47412"/>
    <w:rsid w:val="00A508F7"/>
    <w:rsid w:val="00A509FB"/>
    <w:rsid w:val="00A50BD5"/>
    <w:rsid w:val="00A50FF1"/>
    <w:rsid w:val="00A5184F"/>
    <w:rsid w:val="00A51A9D"/>
    <w:rsid w:val="00A51C19"/>
    <w:rsid w:val="00A51CE1"/>
    <w:rsid w:val="00A51E04"/>
    <w:rsid w:val="00A522B5"/>
    <w:rsid w:val="00A52499"/>
    <w:rsid w:val="00A52C31"/>
    <w:rsid w:val="00A52DA3"/>
    <w:rsid w:val="00A52F37"/>
    <w:rsid w:val="00A533C5"/>
    <w:rsid w:val="00A5388C"/>
    <w:rsid w:val="00A5397B"/>
    <w:rsid w:val="00A53BE1"/>
    <w:rsid w:val="00A53DB9"/>
    <w:rsid w:val="00A53DEA"/>
    <w:rsid w:val="00A54644"/>
    <w:rsid w:val="00A5475B"/>
    <w:rsid w:val="00A550F9"/>
    <w:rsid w:val="00A555EC"/>
    <w:rsid w:val="00A5573A"/>
    <w:rsid w:val="00A55921"/>
    <w:rsid w:val="00A55D6C"/>
    <w:rsid w:val="00A560E3"/>
    <w:rsid w:val="00A5616B"/>
    <w:rsid w:val="00A5628F"/>
    <w:rsid w:val="00A564AF"/>
    <w:rsid w:val="00A566A8"/>
    <w:rsid w:val="00A56A7E"/>
    <w:rsid w:val="00A56D0B"/>
    <w:rsid w:val="00A5743A"/>
    <w:rsid w:val="00A57563"/>
    <w:rsid w:val="00A5775C"/>
    <w:rsid w:val="00A57EE0"/>
    <w:rsid w:val="00A601BF"/>
    <w:rsid w:val="00A601ED"/>
    <w:rsid w:val="00A60574"/>
    <w:rsid w:val="00A60E72"/>
    <w:rsid w:val="00A61C12"/>
    <w:rsid w:val="00A61D4E"/>
    <w:rsid w:val="00A61F0C"/>
    <w:rsid w:val="00A61F97"/>
    <w:rsid w:val="00A61F9B"/>
    <w:rsid w:val="00A61FF0"/>
    <w:rsid w:val="00A620BC"/>
    <w:rsid w:val="00A6214E"/>
    <w:rsid w:val="00A6216F"/>
    <w:rsid w:val="00A623A5"/>
    <w:rsid w:val="00A62580"/>
    <w:rsid w:val="00A62768"/>
    <w:rsid w:val="00A62EB3"/>
    <w:rsid w:val="00A633D8"/>
    <w:rsid w:val="00A635D9"/>
    <w:rsid w:val="00A63895"/>
    <w:rsid w:val="00A63AC9"/>
    <w:rsid w:val="00A64502"/>
    <w:rsid w:val="00A64895"/>
    <w:rsid w:val="00A649B7"/>
    <w:rsid w:val="00A64B5F"/>
    <w:rsid w:val="00A65024"/>
    <w:rsid w:val="00A650EE"/>
    <w:rsid w:val="00A65EA0"/>
    <w:rsid w:val="00A66517"/>
    <w:rsid w:val="00A6689B"/>
    <w:rsid w:val="00A6693A"/>
    <w:rsid w:val="00A67405"/>
    <w:rsid w:val="00A675CE"/>
    <w:rsid w:val="00A67AF8"/>
    <w:rsid w:val="00A67B0E"/>
    <w:rsid w:val="00A67FCB"/>
    <w:rsid w:val="00A70083"/>
    <w:rsid w:val="00A70136"/>
    <w:rsid w:val="00A708B5"/>
    <w:rsid w:val="00A710B9"/>
    <w:rsid w:val="00A718EF"/>
    <w:rsid w:val="00A72134"/>
    <w:rsid w:val="00A7238B"/>
    <w:rsid w:val="00A72624"/>
    <w:rsid w:val="00A726A8"/>
    <w:rsid w:val="00A72951"/>
    <w:rsid w:val="00A7327F"/>
    <w:rsid w:val="00A733E1"/>
    <w:rsid w:val="00A73505"/>
    <w:rsid w:val="00A73627"/>
    <w:rsid w:val="00A73B2E"/>
    <w:rsid w:val="00A73B8E"/>
    <w:rsid w:val="00A73C94"/>
    <w:rsid w:val="00A73FBA"/>
    <w:rsid w:val="00A740C0"/>
    <w:rsid w:val="00A7437C"/>
    <w:rsid w:val="00A75160"/>
    <w:rsid w:val="00A75454"/>
    <w:rsid w:val="00A7553A"/>
    <w:rsid w:val="00A75E02"/>
    <w:rsid w:val="00A76E79"/>
    <w:rsid w:val="00A7702F"/>
    <w:rsid w:val="00A77513"/>
    <w:rsid w:val="00A7771B"/>
    <w:rsid w:val="00A77B53"/>
    <w:rsid w:val="00A77FF2"/>
    <w:rsid w:val="00A80066"/>
    <w:rsid w:val="00A808C2"/>
    <w:rsid w:val="00A80ABD"/>
    <w:rsid w:val="00A811F1"/>
    <w:rsid w:val="00A812F2"/>
    <w:rsid w:val="00A81893"/>
    <w:rsid w:val="00A8195A"/>
    <w:rsid w:val="00A81A1F"/>
    <w:rsid w:val="00A81C8A"/>
    <w:rsid w:val="00A81ED7"/>
    <w:rsid w:val="00A8237E"/>
    <w:rsid w:val="00A826B0"/>
    <w:rsid w:val="00A826BC"/>
    <w:rsid w:val="00A82887"/>
    <w:rsid w:val="00A82C38"/>
    <w:rsid w:val="00A83010"/>
    <w:rsid w:val="00A83BF5"/>
    <w:rsid w:val="00A84CD1"/>
    <w:rsid w:val="00A85085"/>
    <w:rsid w:val="00A855D2"/>
    <w:rsid w:val="00A85997"/>
    <w:rsid w:val="00A85A73"/>
    <w:rsid w:val="00A85E2E"/>
    <w:rsid w:val="00A8604B"/>
    <w:rsid w:val="00A861F3"/>
    <w:rsid w:val="00A86CC8"/>
    <w:rsid w:val="00A870BE"/>
    <w:rsid w:val="00A8728F"/>
    <w:rsid w:val="00A8756A"/>
    <w:rsid w:val="00A87795"/>
    <w:rsid w:val="00A87F7D"/>
    <w:rsid w:val="00A87F88"/>
    <w:rsid w:val="00A9063B"/>
    <w:rsid w:val="00A90655"/>
    <w:rsid w:val="00A906B7"/>
    <w:rsid w:val="00A9070E"/>
    <w:rsid w:val="00A90774"/>
    <w:rsid w:val="00A90A3C"/>
    <w:rsid w:val="00A90D32"/>
    <w:rsid w:val="00A90E38"/>
    <w:rsid w:val="00A913B1"/>
    <w:rsid w:val="00A917D1"/>
    <w:rsid w:val="00A918FC"/>
    <w:rsid w:val="00A9207B"/>
    <w:rsid w:val="00A9232D"/>
    <w:rsid w:val="00A92577"/>
    <w:rsid w:val="00A92B8C"/>
    <w:rsid w:val="00A92DD4"/>
    <w:rsid w:val="00A92E5C"/>
    <w:rsid w:val="00A931C5"/>
    <w:rsid w:val="00A93689"/>
    <w:rsid w:val="00A942E1"/>
    <w:rsid w:val="00A94A75"/>
    <w:rsid w:val="00A94AD9"/>
    <w:rsid w:val="00A94B5C"/>
    <w:rsid w:val="00A94D0F"/>
    <w:rsid w:val="00A94F13"/>
    <w:rsid w:val="00A9568C"/>
    <w:rsid w:val="00A95BED"/>
    <w:rsid w:val="00A95EA2"/>
    <w:rsid w:val="00A965F8"/>
    <w:rsid w:val="00A96A45"/>
    <w:rsid w:val="00A96E2B"/>
    <w:rsid w:val="00A9787E"/>
    <w:rsid w:val="00A97AF9"/>
    <w:rsid w:val="00A97EC2"/>
    <w:rsid w:val="00AA08E8"/>
    <w:rsid w:val="00AA0D61"/>
    <w:rsid w:val="00AA0DB4"/>
    <w:rsid w:val="00AA0F52"/>
    <w:rsid w:val="00AA0FA9"/>
    <w:rsid w:val="00AA11C5"/>
    <w:rsid w:val="00AA1550"/>
    <w:rsid w:val="00AA17E2"/>
    <w:rsid w:val="00AA1D1C"/>
    <w:rsid w:val="00AA1DFD"/>
    <w:rsid w:val="00AA21B7"/>
    <w:rsid w:val="00AA325E"/>
    <w:rsid w:val="00AA3827"/>
    <w:rsid w:val="00AA382D"/>
    <w:rsid w:val="00AA4016"/>
    <w:rsid w:val="00AA4088"/>
    <w:rsid w:val="00AA4371"/>
    <w:rsid w:val="00AA4957"/>
    <w:rsid w:val="00AA4A2C"/>
    <w:rsid w:val="00AA4DD0"/>
    <w:rsid w:val="00AA4E55"/>
    <w:rsid w:val="00AA594A"/>
    <w:rsid w:val="00AA59A6"/>
    <w:rsid w:val="00AA5DB3"/>
    <w:rsid w:val="00AA624F"/>
    <w:rsid w:val="00AA6299"/>
    <w:rsid w:val="00AA6412"/>
    <w:rsid w:val="00AA656C"/>
    <w:rsid w:val="00AA6596"/>
    <w:rsid w:val="00AA6E05"/>
    <w:rsid w:val="00AA6E0B"/>
    <w:rsid w:val="00AA6EC0"/>
    <w:rsid w:val="00AA6F22"/>
    <w:rsid w:val="00AA7521"/>
    <w:rsid w:val="00AA7A61"/>
    <w:rsid w:val="00AA7C0D"/>
    <w:rsid w:val="00AA7E94"/>
    <w:rsid w:val="00AA7EDD"/>
    <w:rsid w:val="00AB0262"/>
    <w:rsid w:val="00AB0A9E"/>
    <w:rsid w:val="00AB0FD8"/>
    <w:rsid w:val="00AB146E"/>
    <w:rsid w:val="00AB14A1"/>
    <w:rsid w:val="00AB1BD6"/>
    <w:rsid w:val="00AB1D56"/>
    <w:rsid w:val="00AB202A"/>
    <w:rsid w:val="00AB20E3"/>
    <w:rsid w:val="00AB261F"/>
    <w:rsid w:val="00AB3116"/>
    <w:rsid w:val="00AB319A"/>
    <w:rsid w:val="00AB3959"/>
    <w:rsid w:val="00AB3CE9"/>
    <w:rsid w:val="00AB3E73"/>
    <w:rsid w:val="00AB44FF"/>
    <w:rsid w:val="00AB45C8"/>
    <w:rsid w:val="00AB4782"/>
    <w:rsid w:val="00AB4817"/>
    <w:rsid w:val="00AB4BCB"/>
    <w:rsid w:val="00AB4CE5"/>
    <w:rsid w:val="00AB5175"/>
    <w:rsid w:val="00AB5468"/>
    <w:rsid w:val="00AB5555"/>
    <w:rsid w:val="00AB55AD"/>
    <w:rsid w:val="00AB5D1B"/>
    <w:rsid w:val="00AB637C"/>
    <w:rsid w:val="00AB65BE"/>
    <w:rsid w:val="00AB6918"/>
    <w:rsid w:val="00AB6B40"/>
    <w:rsid w:val="00AB6B72"/>
    <w:rsid w:val="00AB6F2D"/>
    <w:rsid w:val="00AB740A"/>
    <w:rsid w:val="00AB78AD"/>
    <w:rsid w:val="00AB7C8D"/>
    <w:rsid w:val="00AC014A"/>
    <w:rsid w:val="00AC07D3"/>
    <w:rsid w:val="00AC0D58"/>
    <w:rsid w:val="00AC107B"/>
    <w:rsid w:val="00AC10D7"/>
    <w:rsid w:val="00AC1D10"/>
    <w:rsid w:val="00AC1DA5"/>
    <w:rsid w:val="00AC1EA1"/>
    <w:rsid w:val="00AC1F13"/>
    <w:rsid w:val="00AC1FE5"/>
    <w:rsid w:val="00AC216B"/>
    <w:rsid w:val="00AC22F1"/>
    <w:rsid w:val="00AC26B1"/>
    <w:rsid w:val="00AC336F"/>
    <w:rsid w:val="00AC3669"/>
    <w:rsid w:val="00AC42B8"/>
    <w:rsid w:val="00AC45C5"/>
    <w:rsid w:val="00AC46F7"/>
    <w:rsid w:val="00AC4791"/>
    <w:rsid w:val="00AC47FC"/>
    <w:rsid w:val="00AC4868"/>
    <w:rsid w:val="00AC4DC4"/>
    <w:rsid w:val="00AC4FB6"/>
    <w:rsid w:val="00AC4FD1"/>
    <w:rsid w:val="00AC5470"/>
    <w:rsid w:val="00AC5581"/>
    <w:rsid w:val="00AC5957"/>
    <w:rsid w:val="00AC5BBD"/>
    <w:rsid w:val="00AC5F58"/>
    <w:rsid w:val="00AC5FEF"/>
    <w:rsid w:val="00AC6032"/>
    <w:rsid w:val="00AC6036"/>
    <w:rsid w:val="00AC6286"/>
    <w:rsid w:val="00AC6825"/>
    <w:rsid w:val="00AC6AB6"/>
    <w:rsid w:val="00AC72CC"/>
    <w:rsid w:val="00AC734D"/>
    <w:rsid w:val="00AC7C9A"/>
    <w:rsid w:val="00AD0328"/>
    <w:rsid w:val="00AD099A"/>
    <w:rsid w:val="00AD11DC"/>
    <w:rsid w:val="00AD15F5"/>
    <w:rsid w:val="00AD1966"/>
    <w:rsid w:val="00AD19E8"/>
    <w:rsid w:val="00AD2328"/>
    <w:rsid w:val="00AD2659"/>
    <w:rsid w:val="00AD2721"/>
    <w:rsid w:val="00AD28BD"/>
    <w:rsid w:val="00AD28BF"/>
    <w:rsid w:val="00AD2B03"/>
    <w:rsid w:val="00AD2E07"/>
    <w:rsid w:val="00AD3583"/>
    <w:rsid w:val="00AD38A9"/>
    <w:rsid w:val="00AD4071"/>
    <w:rsid w:val="00AD4432"/>
    <w:rsid w:val="00AD44EA"/>
    <w:rsid w:val="00AD44ED"/>
    <w:rsid w:val="00AD4782"/>
    <w:rsid w:val="00AD4899"/>
    <w:rsid w:val="00AD4AAC"/>
    <w:rsid w:val="00AD5236"/>
    <w:rsid w:val="00AD527D"/>
    <w:rsid w:val="00AD534A"/>
    <w:rsid w:val="00AD54E0"/>
    <w:rsid w:val="00AD5881"/>
    <w:rsid w:val="00AD5886"/>
    <w:rsid w:val="00AD5F77"/>
    <w:rsid w:val="00AD5FD2"/>
    <w:rsid w:val="00AD6550"/>
    <w:rsid w:val="00AD721B"/>
    <w:rsid w:val="00AD758E"/>
    <w:rsid w:val="00AD7AB5"/>
    <w:rsid w:val="00AE07F0"/>
    <w:rsid w:val="00AE08B7"/>
    <w:rsid w:val="00AE0A2B"/>
    <w:rsid w:val="00AE0DBA"/>
    <w:rsid w:val="00AE0F88"/>
    <w:rsid w:val="00AE14B9"/>
    <w:rsid w:val="00AE160F"/>
    <w:rsid w:val="00AE1C12"/>
    <w:rsid w:val="00AE1EDC"/>
    <w:rsid w:val="00AE21DC"/>
    <w:rsid w:val="00AE239B"/>
    <w:rsid w:val="00AE2550"/>
    <w:rsid w:val="00AE25D2"/>
    <w:rsid w:val="00AE28BA"/>
    <w:rsid w:val="00AE2B47"/>
    <w:rsid w:val="00AE2CAD"/>
    <w:rsid w:val="00AE2FBA"/>
    <w:rsid w:val="00AE3090"/>
    <w:rsid w:val="00AE321A"/>
    <w:rsid w:val="00AE3469"/>
    <w:rsid w:val="00AE3504"/>
    <w:rsid w:val="00AE380E"/>
    <w:rsid w:val="00AE3AAD"/>
    <w:rsid w:val="00AE3BB7"/>
    <w:rsid w:val="00AE3CC4"/>
    <w:rsid w:val="00AE4189"/>
    <w:rsid w:val="00AE44FC"/>
    <w:rsid w:val="00AE4691"/>
    <w:rsid w:val="00AE4DB5"/>
    <w:rsid w:val="00AE503A"/>
    <w:rsid w:val="00AE51A7"/>
    <w:rsid w:val="00AE5789"/>
    <w:rsid w:val="00AE5926"/>
    <w:rsid w:val="00AE5F19"/>
    <w:rsid w:val="00AE5F69"/>
    <w:rsid w:val="00AE5FC6"/>
    <w:rsid w:val="00AE60A2"/>
    <w:rsid w:val="00AE6197"/>
    <w:rsid w:val="00AE621F"/>
    <w:rsid w:val="00AE65DA"/>
    <w:rsid w:val="00AE670A"/>
    <w:rsid w:val="00AE68E2"/>
    <w:rsid w:val="00AE781C"/>
    <w:rsid w:val="00AE7F18"/>
    <w:rsid w:val="00AF0157"/>
    <w:rsid w:val="00AF0F20"/>
    <w:rsid w:val="00AF17AC"/>
    <w:rsid w:val="00AF2375"/>
    <w:rsid w:val="00AF272B"/>
    <w:rsid w:val="00AF283B"/>
    <w:rsid w:val="00AF2854"/>
    <w:rsid w:val="00AF2B70"/>
    <w:rsid w:val="00AF2EC7"/>
    <w:rsid w:val="00AF3AC0"/>
    <w:rsid w:val="00AF4345"/>
    <w:rsid w:val="00AF4F4A"/>
    <w:rsid w:val="00AF4FA9"/>
    <w:rsid w:val="00AF5342"/>
    <w:rsid w:val="00AF55C2"/>
    <w:rsid w:val="00AF5626"/>
    <w:rsid w:val="00AF5885"/>
    <w:rsid w:val="00AF60E9"/>
    <w:rsid w:val="00AF6105"/>
    <w:rsid w:val="00AF6D67"/>
    <w:rsid w:val="00AF70A2"/>
    <w:rsid w:val="00AF7301"/>
    <w:rsid w:val="00AF759E"/>
    <w:rsid w:val="00AF79F4"/>
    <w:rsid w:val="00AF7D79"/>
    <w:rsid w:val="00B00598"/>
    <w:rsid w:val="00B00C24"/>
    <w:rsid w:val="00B00F38"/>
    <w:rsid w:val="00B00F93"/>
    <w:rsid w:val="00B011FE"/>
    <w:rsid w:val="00B017AA"/>
    <w:rsid w:val="00B01AE5"/>
    <w:rsid w:val="00B01BBE"/>
    <w:rsid w:val="00B02185"/>
    <w:rsid w:val="00B022A6"/>
    <w:rsid w:val="00B02416"/>
    <w:rsid w:val="00B0316A"/>
    <w:rsid w:val="00B033D0"/>
    <w:rsid w:val="00B03F92"/>
    <w:rsid w:val="00B043F7"/>
    <w:rsid w:val="00B04948"/>
    <w:rsid w:val="00B04EE5"/>
    <w:rsid w:val="00B05135"/>
    <w:rsid w:val="00B055D8"/>
    <w:rsid w:val="00B05B21"/>
    <w:rsid w:val="00B05F25"/>
    <w:rsid w:val="00B065B8"/>
    <w:rsid w:val="00B066CC"/>
    <w:rsid w:val="00B06AFF"/>
    <w:rsid w:val="00B06CC0"/>
    <w:rsid w:val="00B06CD6"/>
    <w:rsid w:val="00B06DB5"/>
    <w:rsid w:val="00B06EBC"/>
    <w:rsid w:val="00B10080"/>
    <w:rsid w:val="00B11515"/>
    <w:rsid w:val="00B11D2D"/>
    <w:rsid w:val="00B123F0"/>
    <w:rsid w:val="00B12449"/>
    <w:rsid w:val="00B12891"/>
    <w:rsid w:val="00B12A3D"/>
    <w:rsid w:val="00B12B4C"/>
    <w:rsid w:val="00B12DC8"/>
    <w:rsid w:val="00B13152"/>
    <w:rsid w:val="00B132DC"/>
    <w:rsid w:val="00B13350"/>
    <w:rsid w:val="00B13391"/>
    <w:rsid w:val="00B13930"/>
    <w:rsid w:val="00B13BCB"/>
    <w:rsid w:val="00B146C1"/>
    <w:rsid w:val="00B146E7"/>
    <w:rsid w:val="00B14B3B"/>
    <w:rsid w:val="00B14CF6"/>
    <w:rsid w:val="00B15636"/>
    <w:rsid w:val="00B156DF"/>
    <w:rsid w:val="00B1573B"/>
    <w:rsid w:val="00B15ABB"/>
    <w:rsid w:val="00B15AF5"/>
    <w:rsid w:val="00B1623D"/>
    <w:rsid w:val="00B16973"/>
    <w:rsid w:val="00B16B56"/>
    <w:rsid w:val="00B16E18"/>
    <w:rsid w:val="00B16F7D"/>
    <w:rsid w:val="00B17831"/>
    <w:rsid w:val="00B17C10"/>
    <w:rsid w:val="00B20062"/>
    <w:rsid w:val="00B2036A"/>
    <w:rsid w:val="00B20AE3"/>
    <w:rsid w:val="00B21057"/>
    <w:rsid w:val="00B213BE"/>
    <w:rsid w:val="00B21557"/>
    <w:rsid w:val="00B216BC"/>
    <w:rsid w:val="00B218DE"/>
    <w:rsid w:val="00B2202B"/>
    <w:rsid w:val="00B226B7"/>
    <w:rsid w:val="00B22E21"/>
    <w:rsid w:val="00B23422"/>
    <w:rsid w:val="00B23441"/>
    <w:rsid w:val="00B234E8"/>
    <w:rsid w:val="00B23E6A"/>
    <w:rsid w:val="00B240C2"/>
    <w:rsid w:val="00B24417"/>
    <w:rsid w:val="00B24577"/>
    <w:rsid w:val="00B2483C"/>
    <w:rsid w:val="00B24948"/>
    <w:rsid w:val="00B249AF"/>
    <w:rsid w:val="00B24BAA"/>
    <w:rsid w:val="00B24BB8"/>
    <w:rsid w:val="00B24CBD"/>
    <w:rsid w:val="00B24D7B"/>
    <w:rsid w:val="00B25041"/>
    <w:rsid w:val="00B25123"/>
    <w:rsid w:val="00B25BE4"/>
    <w:rsid w:val="00B25CA3"/>
    <w:rsid w:val="00B2635A"/>
    <w:rsid w:val="00B266B4"/>
    <w:rsid w:val="00B2679F"/>
    <w:rsid w:val="00B26A81"/>
    <w:rsid w:val="00B26CBD"/>
    <w:rsid w:val="00B26E2E"/>
    <w:rsid w:val="00B26FB2"/>
    <w:rsid w:val="00B27379"/>
    <w:rsid w:val="00B27421"/>
    <w:rsid w:val="00B275A2"/>
    <w:rsid w:val="00B27ABA"/>
    <w:rsid w:val="00B27DA5"/>
    <w:rsid w:val="00B27E06"/>
    <w:rsid w:val="00B30028"/>
    <w:rsid w:val="00B3035C"/>
    <w:rsid w:val="00B30D8E"/>
    <w:rsid w:val="00B30EDF"/>
    <w:rsid w:val="00B310DF"/>
    <w:rsid w:val="00B3185D"/>
    <w:rsid w:val="00B31E8D"/>
    <w:rsid w:val="00B31EEA"/>
    <w:rsid w:val="00B324AB"/>
    <w:rsid w:val="00B32A3C"/>
    <w:rsid w:val="00B3313B"/>
    <w:rsid w:val="00B331E8"/>
    <w:rsid w:val="00B331EA"/>
    <w:rsid w:val="00B335F2"/>
    <w:rsid w:val="00B33710"/>
    <w:rsid w:val="00B34732"/>
    <w:rsid w:val="00B3536A"/>
    <w:rsid w:val="00B353B8"/>
    <w:rsid w:val="00B358B7"/>
    <w:rsid w:val="00B35B57"/>
    <w:rsid w:val="00B35C56"/>
    <w:rsid w:val="00B35F16"/>
    <w:rsid w:val="00B36C0A"/>
    <w:rsid w:val="00B36F17"/>
    <w:rsid w:val="00B372ED"/>
    <w:rsid w:val="00B37501"/>
    <w:rsid w:val="00B40603"/>
    <w:rsid w:val="00B4068F"/>
    <w:rsid w:val="00B40844"/>
    <w:rsid w:val="00B40911"/>
    <w:rsid w:val="00B40A37"/>
    <w:rsid w:val="00B40AF6"/>
    <w:rsid w:val="00B40B8A"/>
    <w:rsid w:val="00B40BA8"/>
    <w:rsid w:val="00B41071"/>
    <w:rsid w:val="00B410AE"/>
    <w:rsid w:val="00B412A2"/>
    <w:rsid w:val="00B413E8"/>
    <w:rsid w:val="00B418ED"/>
    <w:rsid w:val="00B41A51"/>
    <w:rsid w:val="00B41EA0"/>
    <w:rsid w:val="00B42310"/>
    <w:rsid w:val="00B425C0"/>
    <w:rsid w:val="00B42DB6"/>
    <w:rsid w:val="00B434FC"/>
    <w:rsid w:val="00B43694"/>
    <w:rsid w:val="00B438BB"/>
    <w:rsid w:val="00B445FA"/>
    <w:rsid w:val="00B450CD"/>
    <w:rsid w:val="00B45827"/>
    <w:rsid w:val="00B45B93"/>
    <w:rsid w:val="00B45E84"/>
    <w:rsid w:val="00B46957"/>
    <w:rsid w:val="00B46DC1"/>
    <w:rsid w:val="00B4765B"/>
    <w:rsid w:val="00B4797A"/>
    <w:rsid w:val="00B47B54"/>
    <w:rsid w:val="00B47E0F"/>
    <w:rsid w:val="00B50100"/>
    <w:rsid w:val="00B50161"/>
    <w:rsid w:val="00B5053F"/>
    <w:rsid w:val="00B50E99"/>
    <w:rsid w:val="00B518A3"/>
    <w:rsid w:val="00B51926"/>
    <w:rsid w:val="00B51DB3"/>
    <w:rsid w:val="00B51E77"/>
    <w:rsid w:val="00B51F9A"/>
    <w:rsid w:val="00B52536"/>
    <w:rsid w:val="00B52939"/>
    <w:rsid w:val="00B529A1"/>
    <w:rsid w:val="00B52ACD"/>
    <w:rsid w:val="00B52D21"/>
    <w:rsid w:val="00B5301A"/>
    <w:rsid w:val="00B53998"/>
    <w:rsid w:val="00B53D44"/>
    <w:rsid w:val="00B540E3"/>
    <w:rsid w:val="00B54390"/>
    <w:rsid w:val="00B54DA7"/>
    <w:rsid w:val="00B550BF"/>
    <w:rsid w:val="00B552BE"/>
    <w:rsid w:val="00B556BB"/>
    <w:rsid w:val="00B556DD"/>
    <w:rsid w:val="00B559EF"/>
    <w:rsid w:val="00B572F1"/>
    <w:rsid w:val="00B578BF"/>
    <w:rsid w:val="00B600C6"/>
    <w:rsid w:val="00B60167"/>
    <w:rsid w:val="00B602CD"/>
    <w:rsid w:val="00B603F3"/>
    <w:rsid w:val="00B60639"/>
    <w:rsid w:val="00B609BF"/>
    <w:rsid w:val="00B60A9D"/>
    <w:rsid w:val="00B60E4D"/>
    <w:rsid w:val="00B60FC0"/>
    <w:rsid w:val="00B60FD6"/>
    <w:rsid w:val="00B61665"/>
    <w:rsid w:val="00B6192D"/>
    <w:rsid w:val="00B61941"/>
    <w:rsid w:val="00B61D7E"/>
    <w:rsid w:val="00B623CF"/>
    <w:rsid w:val="00B62404"/>
    <w:rsid w:val="00B6272A"/>
    <w:rsid w:val="00B62E09"/>
    <w:rsid w:val="00B63528"/>
    <w:rsid w:val="00B63889"/>
    <w:rsid w:val="00B63D36"/>
    <w:rsid w:val="00B63D62"/>
    <w:rsid w:val="00B63DAF"/>
    <w:rsid w:val="00B63E98"/>
    <w:rsid w:val="00B64581"/>
    <w:rsid w:val="00B64C66"/>
    <w:rsid w:val="00B64F9C"/>
    <w:rsid w:val="00B65754"/>
    <w:rsid w:val="00B65CAB"/>
    <w:rsid w:val="00B661AA"/>
    <w:rsid w:val="00B66242"/>
    <w:rsid w:val="00B670D3"/>
    <w:rsid w:val="00B67958"/>
    <w:rsid w:val="00B67AD1"/>
    <w:rsid w:val="00B67CE1"/>
    <w:rsid w:val="00B67E51"/>
    <w:rsid w:val="00B701D1"/>
    <w:rsid w:val="00B70389"/>
    <w:rsid w:val="00B70802"/>
    <w:rsid w:val="00B709B8"/>
    <w:rsid w:val="00B70E59"/>
    <w:rsid w:val="00B711DF"/>
    <w:rsid w:val="00B712BB"/>
    <w:rsid w:val="00B713DB"/>
    <w:rsid w:val="00B716BB"/>
    <w:rsid w:val="00B716FD"/>
    <w:rsid w:val="00B71C8D"/>
    <w:rsid w:val="00B7279E"/>
    <w:rsid w:val="00B72855"/>
    <w:rsid w:val="00B72897"/>
    <w:rsid w:val="00B72A3B"/>
    <w:rsid w:val="00B731AB"/>
    <w:rsid w:val="00B732B6"/>
    <w:rsid w:val="00B734C2"/>
    <w:rsid w:val="00B735F2"/>
    <w:rsid w:val="00B73BDA"/>
    <w:rsid w:val="00B73DD2"/>
    <w:rsid w:val="00B74053"/>
    <w:rsid w:val="00B740B2"/>
    <w:rsid w:val="00B7482A"/>
    <w:rsid w:val="00B748DD"/>
    <w:rsid w:val="00B74CDE"/>
    <w:rsid w:val="00B75E26"/>
    <w:rsid w:val="00B765A0"/>
    <w:rsid w:val="00B76963"/>
    <w:rsid w:val="00B76C02"/>
    <w:rsid w:val="00B77AD0"/>
    <w:rsid w:val="00B77BD2"/>
    <w:rsid w:val="00B80A2A"/>
    <w:rsid w:val="00B814CB"/>
    <w:rsid w:val="00B81B6A"/>
    <w:rsid w:val="00B8200F"/>
    <w:rsid w:val="00B820F4"/>
    <w:rsid w:val="00B826D1"/>
    <w:rsid w:val="00B82C2F"/>
    <w:rsid w:val="00B82D73"/>
    <w:rsid w:val="00B8305B"/>
    <w:rsid w:val="00B831C6"/>
    <w:rsid w:val="00B83474"/>
    <w:rsid w:val="00B835E0"/>
    <w:rsid w:val="00B8382C"/>
    <w:rsid w:val="00B8396D"/>
    <w:rsid w:val="00B840B8"/>
    <w:rsid w:val="00B840E7"/>
    <w:rsid w:val="00B84BB0"/>
    <w:rsid w:val="00B85839"/>
    <w:rsid w:val="00B85B1B"/>
    <w:rsid w:val="00B85BED"/>
    <w:rsid w:val="00B86168"/>
    <w:rsid w:val="00B87186"/>
    <w:rsid w:val="00B90331"/>
    <w:rsid w:val="00B903ED"/>
    <w:rsid w:val="00B90B2D"/>
    <w:rsid w:val="00B91245"/>
    <w:rsid w:val="00B91439"/>
    <w:rsid w:val="00B9165A"/>
    <w:rsid w:val="00B91919"/>
    <w:rsid w:val="00B935A1"/>
    <w:rsid w:val="00B9388E"/>
    <w:rsid w:val="00B93F66"/>
    <w:rsid w:val="00B94733"/>
    <w:rsid w:val="00B948A6"/>
    <w:rsid w:val="00B9492C"/>
    <w:rsid w:val="00B94CAB"/>
    <w:rsid w:val="00B955B7"/>
    <w:rsid w:val="00B95B4F"/>
    <w:rsid w:val="00B95DAD"/>
    <w:rsid w:val="00B96C0C"/>
    <w:rsid w:val="00B9712A"/>
    <w:rsid w:val="00B97173"/>
    <w:rsid w:val="00B9734D"/>
    <w:rsid w:val="00B97732"/>
    <w:rsid w:val="00B97E07"/>
    <w:rsid w:val="00BA01EF"/>
    <w:rsid w:val="00BA0E10"/>
    <w:rsid w:val="00BA0E98"/>
    <w:rsid w:val="00BA0EE5"/>
    <w:rsid w:val="00BA156C"/>
    <w:rsid w:val="00BA27F4"/>
    <w:rsid w:val="00BA2940"/>
    <w:rsid w:val="00BA2AEA"/>
    <w:rsid w:val="00BA2C00"/>
    <w:rsid w:val="00BA2E40"/>
    <w:rsid w:val="00BA3A5E"/>
    <w:rsid w:val="00BA3CB7"/>
    <w:rsid w:val="00BA41DE"/>
    <w:rsid w:val="00BA46E6"/>
    <w:rsid w:val="00BA4E91"/>
    <w:rsid w:val="00BA4F29"/>
    <w:rsid w:val="00BA506D"/>
    <w:rsid w:val="00BA526C"/>
    <w:rsid w:val="00BA556C"/>
    <w:rsid w:val="00BA5E1A"/>
    <w:rsid w:val="00BA64A7"/>
    <w:rsid w:val="00BA6558"/>
    <w:rsid w:val="00BA6C65"/>
    <w:rsid w:val="00BA78B1"/>
    <w:rsid w:val="00BA7F1A"/>
    <w:rsid w:val="00BB0986"/>
    <w:rsid w:val="00BB0F31"/>
    <w:rsid w:val="00BB11A5"/>
    <w:rsid w:val="00BB15AB"/>
    <w:rsid w:val="00BB15D1"/>
    <w:rsid w:val="00BB167D"/>
    <w:rsid w:val="00BB1833"/>
    <w:rsid w:val="00BB189B"/>
    <w:rsid w:val="00BB1D21"/>
    <w:rsid w:val="00BB1FE8"/>
    <w:rsid w:val="00BB22D3"/>
    <w:rsid w:val="00BB27B7"/>
    <w:rsid w:val="00BB2CF7"/>
    <w:rsid w:val="00BB2E51"/>
    <w:rsid w:val="00BB2E83"/>
    <w:rsid w:val="00BB3167"/>
    <w:rsid w:val="00BB3322"/>
    <w:rsid w:val="00BB34A9"/>
    <w:rsid w:val="00BB34D9"/>
    <w:rsid w:val="00BB4198"/>
    <w:rsid w:val="00BB452B"/>
    <w:rsid w:val="00BB4645"/>
    <w:rsid w:val="00BB4BEA"/>
    <w:rsid w:val="00BB4C1A"/>
    <w:rsid w:val="00BB50AB"/>
    <w:rsid w:val="00BB5179"/>
    <w:rsid w:val="00BB5563"/>
    <w:rsid w:val="00BB5B9B"/>
    <w:rsid w:val="00BB5BB5"/>
    <w:rsid w:val="00BB5C62"/>
    <w:rsid w:val="00BB5D4B"/>
    <w:rsid w:val="00BB5E75"/>
    <w:rsid w:val="00BB62A0"/>
    <w:rsid w:val="00BB6664"/>
    <w:rsid w:val="00BB6787"/>
    <w:rsid w:val="00BB68EB"/>
    <w:rsid w:val="00BB69DF"/>
    <w:rsid w:val="00BB6AE3"/>
    <w:rsid w:val="00BB6B19"/>
    <w:rsid w:val="00BB7014"/>
    <w:rsid w:val="00BB7421"/>
    <w:rsid w:val="00BC01FC"/>
    <w:rsid w:val="00BC100A"/>
    <w:rsid w:val="00BC1221"/>
    <w:rsid w:val="00BC12B8"/>
    <w:rsid w:val="00BC149B"/>
    <w:rsid w:val="00BC1F79"/>
    <w:rsid w:val="00BC2201"/>
    <w:rsid w:val="00BC3372"/>
    <w:rsid w:val="00BC3524"/>
    <w:rsid w:val="00BC36EB"/>
    <w:rsid w:val="00BC3C7A"/>
    <w:rsid w:val="00BC3CDC"/>
    <w:rsid w:val="00BC4667"/>
    <w:rsid w:val="00BC584C"/>
    <w:rsid w:val="00BC5ED6"/>
    <w:rsid w:val="00BC63A5"/>
    <w:rsid w:val="00BC6CD1"/>
    <w:rsid w:val="00BC6E7E"/>
    <w:rsid w:val="00BC6F0B"/>
    <w:rsid w:val="00BC7DC6"/>
    <w:rsid w:val="00BD0774"/>
    <w:rsid w:val="00BD0D09"/>
    <w:rsid w:val="00BD1039"/>
    <w:rsid w:val="00BD1042"/>
    <w:rsid w:val="00BD11C6"/>
    <w:rsid w:val="00BD13B5"/>
    <w:rsid w:val="00BD1CD1"/>
    <w:rsid w:val="00BD2218"/>
    <w:rsid w:val="00BD2EFC"/>
    <w:rsid w:val="00BD3045"/>
    <w:rsid w:val="00BD30F6"/>
    <w:rsid w:val="00BD340E"/>
    <w:rsid w:val="00BD342C"/>
    <w:rsid w:val="00BD3690"/>
    <w:rsid w:val="00BD3B66"/>
    <w:rsid w:val="00BD41B6"/>
    <w:rsid w:val="00BD43FC"/>
    <w:rsid w:val="00BD4EDC"/>
    <w:rsid w:val="00BD6059"/>
    <w:rsid w:val="00BD60AD"/>
    <w:rsid w:val="00BD6B49"/>
    <w:rsid w:val="00BD6BB2"/>
    <w:rsid w:val="00BD6BB5"/>
    <w:rsid w:val="00BD6C02"/>
    <w:rsid w:val="00BD6CE6"/>
    <w:rsid w:val="00BE0350"/>
    <w:rsid w:val="00BE03FB"/>
    <w:rsid w:val="00BE041E"/>
    <w:rsid w:val="00BE1244"/>
    <w:rsid w:val="00BE1373"/>
    <w:rsid w:val="00BE164F"/>
    <w:rsid w:val="00BE165D"/>
    <w:rsid w:val="00BE1CAA"/>
    <w:rsid w:val="00BE1D04"/>
    <w:rsid w:val="00BE1DAA"/>
    <w:rsid w:val="00BE2216"/>
    <w:rsid w:val="00BE228E"/>
    <w:rsid w:val="00BE2394"/>
    <w:rsid w:val="00BE25C7"/>
    <w:rsid w:val="00BE2660"/>
    <w:rsid w:val="00BE2702"/>
    <w:rsid w:val="00BE2800"/>
    <w:rsid w:val="00BE2961"/>
    <w:rsid w:val="00BE2A15"/>
    <w:rsid w:val="00BE3F3A"/>
    <w:rsid w:val="00BE4219"/>
    <w:rsid w:val="00BE4326"/>
    <w:rsid w:val="00BE4DA7"/>
    <w:rsid w:val="00BE56A6"/>
    <w:rsid w:val="00BE59CE"/>
    <w:rsid w:val="00BE5A61"/>
    <w:rsid w:val="00BE5CAF"/>
    <w:rsid w:val="00BE5F4F"/>
    <w:rsid w:val="00BE60DB"/>
    <w:rsid w:val="00BE6537"/>
    <w:rsid w:val="00BE66A5"/>
    <w:rsid w:val="00BE66D6"/>
    <w:rsid w:val="00BE6B52"/>
    <w:rsid w:val="00BE6D8C"/>
    <w:rsid w:val="00BE7076"/>
    <w:rsid w:val="00BE7396"/>
    <w:rsid w:val="00BE787D"/>
    <w:rsid w:val="00BE79FD"/>
    <w:rsid w:val="00BE7A0C"/>
    <w:rsid w:val="00BF0191"/>
    <w:rsid w:val="00BF13EC"/>
    <w:rsid w:val="00BF188A"/>
    <w:rsid w:val="00BF1C07"/>
    <w:rsid w:val="00BF1DAF"/>
    <w:rsid w:val="00BF21F4"/>
    <w:rsid w:val="00BF29AD"/>
    <w:rsid w:val="00BF2E20"/>
    <w:rsid w:val="00BF39B2"/>
    <w:rsid w:val="00BF3D95"/>
    <w:rsid w:val="00BF3DEE"/>
    <w:rsid w:val="00BF40F1"/>
    <w:rsid w:val="00BF43A0"/>
    <w:rsid w:val="00BF4C91"/>
    <w:rsid w:val="00BF530C"/>
    <w:rsid w:val="00BF54AC"/>
    <w:rsid w:val="00BF54BD"/>
    <w:rsid w:val="00BF58AE"/>
    <w:rsid w:val="00BF5B78"/>
    <w:rsid w:val="00BF5E5B"/>
    <w:rsid w:val="00BF5F08"/>
    <w:rsid w:val="00BF5F09"/>
    <w:rsid w:val="00BF6B8E"/>
    <w:rsid w:val="00BF6F4B"/>
    <w:rsid w:val="00BF6FD1"/>
    <w:rsid w:val="00BF73F4"/>
    <w:rsid w:val="00BF7598"/>
    <w:rsid w:val="00BF77B1"/>
    <w:rsid w:val="00BF7F25"/>
    <w:rsid w:val="00C000B3"/>
    <w:rsid w:val="00C00CA3"/>
    <w:rsid w:val="00C01340"/>
    <w:rsid w:val="00C013A8"/>
    <w:rsid w:val="00C0163F"/>
    <w:rsid w:val="00C0233C"/>
    <w:rsid w:val="00C025A5"/>
    <w:rsid w:val="00C026CA"/>
    <w:rsid w:val="00C02924"/>
    <w:rsid w:val="00C02D39"/>
    <w:rsid w:val="00C03C78"/>
    <w:rsid w:val="00C040E6"/>
    <w:rsid w:val="00C048EE"/>
    <w:rsid w:val="00C04FD3"/>
    <w:rsid w:val="00C0573E"/>
    <w:rsid w:val="00C05C8F"/>
    <w:rsid w:val="00C06452"/>
    <w:rsid w:val="00C0654B"/>
    <w:rsid w:val="00C065A2"/>
    <w:rsid w:val="00C06825"/>
    <w:rsid w:val="00C06A56"/>
    <w:rsid w:val="00C06DD7"/>
    <w:rsid w:val="00C07919"/>
    <w:rsid w:val="00C0795F"/>
    <w:rsid w:val="00C07AC5"/>
    <w:rsid w:val="00C103F9"/>
    <w:rsid w:val="00C104AC"/>
    <w:rsid w:val="00C10928"/>
    <w:rsid w:val="00C1097E"/>
    <w:rsid w:val="00C10CB1"/>
    <w:rsid w:val="00C10FB6"/>
    <w:rsid w:val="00C110E1"/>
    <w:rsid w:val="00C1129E"/>
    <w:rsid w:val="00C1198F"/>
    <w:rsid w:val="00C11A4E"/>
    <w:rsid w:val="00C11DB1"/>
    <w:rsid w:val="00C11E61"/>
    <w:rsid w:val="00C11F8C"/>
    <w:rsid w:val="00C11FA1"/>
    <w:rsid w:val="00C1286C"/>
    <w:rsid w:val="00C12E21"/>
    <w:rsid w:val="00C12E65"/>
    <w:rsid w:val="00C131F4"/>
    <w:rsid w:val="00C13802"/>
    <w:rsid w:val="00C1387A"/>
    <w:rsid w:val="00C13C20"/>
    <w:rsid w:val="00C13F74"/>
    <w:rsid w:val="00C146D3"/>
    <w:rsid w:val="00C14F98"/>
    <w:rsid w:val="00C15125"/>
    <w:rsid w:val="00C157A8"/>
    <w:rsid w:val="00C15C8E"/>
    <w:rsid w:val="00C15DD1"/>
    <w:rsid w:val="00C16375"/>
    <w:rsid w:val="00C16778"/>
    <w:rsid w:val="00C16BE0"/>
    <w:rsid w:val="00C16D70"/>
    <w:rsid w:val="00C16F50"/>
    <w:rsid w:val="00C17769"/>
    <w:rsid w:val="00C200F0"/>
    <w:rsid w:val="00C21C39"/>
    <w:rsid w:val="00C220F6"/>
    <w:rsid w:val="00C2224B"/>
    <w:rsid w:val="00C2325C"/>
    <w:rsid w:val="00C23482"/>
    <w:rsid w:val="00C23745"/>
    <w:rsid w:val="00C239ED"/>
    <w:rsid w:val="00C23F4F"/>
    <w:rsid w:val="00C24047"/>
    <w:rsid w:val="00C246E7"/>
    <w:rsid w:val="00C2474F"/>
    <w:rsid w:val="00C24D9D"/>
    <w:rsid w:val="00C25113"/>
    <w:rsid w:val="00C2532C"/>
    <w:rsid w:val="00C258B3"/>
    <w:rsid w:val="00C25CF3"/>
    <w:rsid w:val="00C2608F"/>
    <w:rsid w:val="00C263E9"/>
    <w:rsid w:val="00C26741"/>
    <w:rsid w:val="00C2726E"/>
    <w:rsid w:val="00C27550"/>
    <w:rsid w:val="00C2775A"/>
    <w:rsid w:val="00C27904"/>
    <w:rsid w:val="00C303F9"/>
    <w:rsid w:val="00C3063A"/>
    <w:rsid w:val="00C30888"/>
    <w:rsid w:val="00C30B68"/>
    <w:rsid w:val="00C30BAD"/>
    <w:rsid w:val="00C310DE"/>
    <w:rsid w:val="00C31938"/>
    <w:rsid w:val="00C31B67"/>
    <w:rsid w:val="00C31D0D"/>
    <w:rsid w:val="00C31E8F"/>
    <w:rsid w:val="00C31F12"/>
    <w:rsid w:val="00C32025"/>
    <w:rsid w:val="00C32F78"/>
    <w:rsid w:val="00C331D9"/>
    <w:rsid w:val="00C335DA"/>
    <w:rsid w:val="00C339BB"/>
    <w:rsid w:val="00C33A2F"/>
    <w:rsid w:val="00C33D3E"/>
    <w:rsid w:val="00C33EC4"/>
    <w:rsid w:val="00C34290"/>
    <w:rsid w:val="00C34312"/>
    <w:rsid w:val="00C34347"/>
    <w:rsid w:val="00C346E6"/>
    <w:rsid w:val="00C347C1"/>
    <w:rsid w:val="00C34950"/>
    <w:rsid w:val="00C34C67"/>
    <w:rsid w:val="00C3594B"/>
    <w:rsid w:val="00C35BAF"/>
    <w:rsid w:val="00C362BC"/>
    <w:rsid w:val="00C362E0"/>
    <w:rsid w:val="00C36A71"/>
    <w:rsid w:val="00C36EA1"/>
    <w:rsid w:val="00C36ED4"/>
    <w:rsid w:val="00C37475"/>
    <w:rsid w:val="00C37639"/>
    <w:rsid w:val="00C376CC"/>
    <w:rsid w:val="00C37A8E"/>
    <w:rsid w:val="00C37AE3"/>
    <w:rsid w:val="00C400F7"/>
    <w:rsid w:val="00C407A4"/>
    <w:rsid w:val="00C409E7"/>
    <w:rsid w:val="00C40EC6"/>
    <w:rsid w:val="00C40F39"/>
    <w:rsid w:val="00C41007"/>
    <w:rsid w:val="00C414E2"/>
    <w:rsid w:val="00C41779"/>
    <w:rsid w:val="00C419AD"/>
    <w:rsid w:val="00C41B5F"/>
    <w:rsid w:val="00C41C81"/>
    <w:rsid w:val="00C41D3E"/>
    <w:rsid w:val="00C41F55"/>
    <w:rsid w:val="00C41FFA"/>
    <w:rsid w:val="00C42164"/>
    <w:rsid w:val="00C42767"/>
    <w:rsid w:val="00C42BBC"/>
    <w:rsid w:val="00C43564"/>
    <w:rsid w:val="00C437BA"/>
    <w:rsid w:val="00C439F4"/>
    <w:rsid w:val="00C43AC6"/>
    <w:rsid w:val="00C43D5E"/>
    <w:rsid w:val="00C43DB0"/>
    <w:rsid w:val="00C44395"/>
    <w:rsid w:val="00C443B3"/>
    <w:rsid w:val="00C44805"/>
    <w:rsid w:val="00C44F3E"/>
    <w:rsid w:val="00C45599"/>
    <w:rsid w:val="00C456C4"/>
    <w:rsid w:val="00C45AD2"/>
    <w:rsid w:val="00C45B89"/>
    <w:rsid w:val="00C45CE8"/>
    <w:rsid w:val="00C45CFE"/>
    <w:rsid w:val="00C45D38"/>
    <w:rsid w:val="00C45D3C"/>
    <w:rsid w:val="00C46474"/>
    <w:rsid w:val="00C46D01"/>
    <w:rsid w:val="00C46F06"/>
    <w:rsid w:val="00C47CC1"/>
    <w:rsid w:val="00C47DA6"/>
    <w:rsid w:val="00C47FE4"/>
    <w:rsid w:val="00C5005B"/>
    <w:rsid w:val="00C50286"/>
    <w:rsid w:val="00C50986"/>
    <w:rsid w:val="00C50A22"/>
    <w:rsid w:val="00C50ABF"/>
    <w:rsid w:val="00C50EF2"/>
    <w:rsid w:val="00C51256"/>
    <w:rsid w:val="00C5147B"/>
    <w:rsid w:val="00C51566"/>
    <w:rsid w:val="00C516B7"/>
    <w:rsid w:val="00C516C4"/>
    <w:rsid w:val="00C51730"/>
    <w:rsid w:val="00C51C1F"/>
    <w:rsid w:val="00C52080"/>
    <w:rsid w:val="00C52433"/>
    <w:rsid w:val="00C524BD"/>
    <w:rsid w:val="00C52548"/>
    <w:rsid w:val="00C52D62"/>
    <w:rsid w:val="00C52D8D"/>
    <w:rsid w:val="00C52EF3"/>
    <w:rsid w:val="00C53056"/>
    <w:rsid w:val="00C533D4"/>
    <w:rsid w:val="00C5367F"/>
    <w:rsid w:val="00C53805"/>
    <w:rsid w:val="00C53A4C"/>
    <w:rsid w:val="00C53A81"/>
    <w:rsid w:val="00C53B7C"/>
    <w:rsid w:val="00C53B95"/>
    <w:rsid w:val="00C53FA8"/>
    <w:rsid w:val="00C5448D"/>
    <w:rsid w:val="00C5477F"/>
    <w:rsid w:val="00C547B7"/>
    <w:rsid w:val="00C549C1"/>
    <w:rsid w:val="00C54B4A"/>
    <w:rsid w:val="00C5503B"/>
    <w:rsid w:val="00C55614"/>
    <w:rsid w:val="00C557BC"/>
    <w:rsid w:val="00C5591F"/>
    <w:rsid w:val="00C55A32"/>
    <w:rsid w:val="00C55B8D"/>
    <w:rsid w:val="00C55C9E"/>
    <w:rsid w:val="00C56190"/>
    <w:rsid w:val="00C561DE"/>
    <w:rsid w:val="00C564F2"/>
    <w:rsid w:val="00C56571"/>
    <w:rsid w:val="00C568D2"/>
    <w:rsid w:val="00C56BB2"/>
    <w:rsid w:val="00C56D5A"/>
    <w:rsid w:val="00C56F11"/>
    <w:rsid w:val="00C572F6"/>
    <w:rsid w:val="00C578E4"/>
    <w:rsid w:val="00C60546"/>
    <w:rsid w:val="00C60951"/>
    <w:rsid w:val="00C61347"/>
    <w:rsid w:val="00C6174E"/>
    <w:rsid w:val="00C61A69"/>
    <w:rsid w:val="00C61F3A"/>
    <w:rsid w:val="00C625EB"/>
    <w:rsid w:val="00C629CB"/>
    <w:rsid w:val="00C62B75"/>
    <w:rsid w:val="00C63692"/>
    <w:rsid w:val="00C63734"/>
    <w:rsid w:val="00C63A8E"/>
    <w:rsid w:val="00C64580"/>
    <w:rsid w:val="00C6498A"/>
    <w:rsid w:val="00C650A8"/>
    <w:rsid w:val="00C657B5"/>
    <w:rsid w:val="00C65894"/>
    <w:rsid w:val="00C65AFD"/>
    <w:rsid w:val="00C65E04"/>
    <w:rsid w:val="00C661E1"/>
    <w:rsid w:val="00C665B9"/>
    <w:rsid w:val="00C66686"/>
    <w:rsid w:val="00C66995"/>
    <w:rsid w:val="00C6753F"/>
    <w:rsid w:val="00C67541"/>
    <w:rsid w:val="00C678C4"/>
    <w:rsid w:val="00C67B32"/>
    <w:rsid w:val="00C709BD"/>
    <w:rsid w:val="00C70CAA"/>
    <w:rsid w:val="00C71215"/>
    <w:rsid w:val="00C713C5"/>
    <w:rsid w:val="00C72011"/>
    <w:rsid w:val="00C7216B"/>
    <w:rsid w:val="00C727BE"/>
    <w:rsid w:val="00C732A9"/>
    <w:rsid w:val="00C73448"/>
    <w:rsid w:val="00C7393F"/>
    <w:rsid w:val="00C73AFC"/>
    <w:rsid w:val="00C73E2E"/>
    <w:rsid w:val="00C74546"/>
    <w:rsid w:val="00C746DB"/>
    <w:rsid w:val="00C747AC"/>
    <w:rsid w:val="00C748E2"/>
    <w:rsid w:val="00C74E75"/>
    <w:rsid w:val="00C751C1"/>
    <w:rsid w:val="00C76146"/>
    <w:rsid w:val="00C76262"/>
    <w:rsid w:val="00C76313"/>
    <w:rsid w:val="00C767BA"/>
    <w:rsid w:val="00C7686D"/>
    <w:rsid w:val="00C76B20"/>
    <w:rsid w:val="00C76E3C"/>
    <w:rsid w:val="00C77351"/>
    <w:rsid w:val="00C773B6"/>
    <w:rsid w:val="00C7776C"/>
    <w:rsid w:val="00C77CA8"/>
    <w:rsid w:val="00C801EC"/>
    <w:rsid w:val="00C8079B"/>
    <w:rsid w:val="00C80883"/>
    <w:rsid w:val="00C80A55"/>
    <w:rsid w:val="00C81AD8"/>
    <w:rsid w:val="00C8247C"/>
    <w:rsid w:val="00C8282E"/>
    <w:rsid w:val="00C829AB"/>
    <w:rsid w:val="00C82BF0"/>
    <w:rsid w:val="00C83712"/>
    <w:rsid w:val="00C8398D"/>
    <w:rsid w:val="00C83F89"/>
    <w:rsid w:val="00C84646"/>
    <w:rsid w:val="00C84BC2"/>
    <w:rsid w:val="00C85139"/>
    <w:rsid w:val="00C85657"/>
    <w:rsid w:val="00C85786"/>
    <w:rsid w:val="00C85B0A"/>
    <w:rsid w:val="00C85F5A"/>
    <w:rsid w:val="00C860C6"/>
    <w:rsid w:val="00C86456"/>
    <w:rsid w:val="00C86530"/>
    <w:rsid w:val="00C8684B"/>
    <w:rsid w:val="00C869C4"/>
    <w:rsid w:val="00C86F6B"/>
    <w:rsid w:val="00C87B3F"/>
    <w:rsid w:val="00C87C19"/>
    <w:rsid w:val="00C87E49"/>
    <w:rsid w:val="00C87F1A"/>
    <w:rsid w:val="00C9128B"/>
    <w:rsid w:val="00C9131A"/>
    <w:rsid w:val="00C919BE"/>
    <w:rsid w:val="00C91C88"/>
    <w:rsid w:val="00C929BE"/>
    <w:rsid w:val="00C92BBB"/>
    <w:rsid w:val="00C936CD"/>
    <w:rsid w:val="00C939C3"/>
    <w:rsid w:val="00C93D33"/>
    <w:rsid w:val="00C94183"/>
    <w:rsid w:val="00C94228"/>
    <w:rsid w:val="00C94DC2"/>
    <w:rsid w:val="00C94F22"/>
    <w:rsid w:val="00C95384"/>
    <w:rsid w:val="00C95525"/>
    <w:rsid w:val="00C9577F"/>
    <w:rsid w:val="00C96037"/>
    <w:rsid w:val="00C961D7"/>
    <w:rsid w:val="00C962FE"/>
    <w:rsid w:val="00C96ACA"/>
    <w:rsid w:val="00C96D56"/>
    <w:rsid w:val="00C96F0D"/>
    <w:rsid w:val="00C97221"/>
    <w:rsid w:val="00C977E6"/>
    <w:rsid w:val="00C97C1E"/>
    <w:rsid w:val="00CA0020"/>
    <w:rsid w:val="00CA0190"/>
    <w:rsid w:val="00CA0B2E"/>
    <w:rsid w:val="00CA0D60"/>
    <w:rsid w:val="00CA108C"/>
    <w:rsid w:val="00CA1489"/>
    <w:rsid w:val="00CA1636"/>
    <w:rsid w:val="00CA18A7"/>
    <w:rsid w:val="00CA18CA"/>
    <w:rsid w:val="00CA1AF1"/>
    <w:rsid w:val="00CA2557"/>
    <w:rsid w:val="00CA2B55"/>
    <w:rsid w:val="00CA2B59"/>
    <w:rsid w:val="00CA3269"/>
    <w:rsid w:val="00CA346E"/>
    <w:rsid w:val="00CA3820"/>
    <w:rsid w:val="00CA4114"/>
    <w:rsid w:val="00CA4348"/>
    <w:rsid w:val="00CA5413"/>
    <w:rsid w:val="00CA5674"/>
    <w:rsid w:val="00CA572C"/>
    <w:rsid w:val="00CA5BDA"/>
    <w:rsid w:val="00CA5C1A"/>
    <w:rsid w:val="00CA5CD9"/>
    <w:rsid w:val="00CA5CDF"/>
    <w:rsid w:val="00CA633F"/>
    <w:rsid w:val="00CA641E"/>
    <w:rsid w:val="00CA6690"/>
    <w:rsid w:val="00CA6B1B"/>
    <w:rsid w:val="00CA6B56"/>
    <w:rsid w:val="00CA6D2B"/>
    <w:rsid w:val="00CA7290"/>
    <w:rsid w:val="00CA7394"/>
    <w:rsid w:val="00CA74C7"/>
    <w:rsid w:val="00CA7558"/>
    <w:rsid w:val="00CA782B"/>
    <w:rsid w:val="00CA785F"/>
    <w:rsid w:val="00CA792A"/>
    <w:rsid w:val="00CA7949"/>
    <w:rsid w:val="00CA7A61"/>
    <w:rsid w:val="00CB052E"/>
    <w:rsid w:val="00CB0C6E"/>
    <w:rsid w:val="00CB0C89"/>
    <w:rsid w:val="00CB106D"/>
    <w:rsid w:val="00CB1150"/>
    <w:rsid w:val="00CB154C"/>
    <w:rsid w:val="00CB173A"/>
    <w:rsid w:val="00CB1D1C"/>
    <w:rsid w:val="00CB21F9"/>
    <w:rsid w:val="00CB226B"/>
    <w:rsid w:val="00CB229B"/>
    <w:rsid w:val="00CB23B4"/>
    <w:rsid w:val="00CB292E"/>
    <w:rsid w:val="00CB2E4E"/>
    <w:rsid w:val="00CB2FCF"/>
    <w:rsid w:val="00CB317E"/>
    <w:rsid w:val="00CB3337"/>
    <w:rsid w:val="00CB33B4"/>
    <w:rsid w:val="00CB3D93"/>
    <w:rsid w:val="00CB3E52"/>
    <w:rsid w:val="00CB40AB"/>
    <w:rsid w:val="00CB4441"/>
    <w:rsid w:val="00CB45DA"/>
    <w:rsid w:val="00CB4B1A"/>
    <w:rsid w:val="00CB4DC3"/>
    <w:rsid w:val="00CB4E1F"/>
    <w:rsid w:val="00CB4E5E"/>
    <w:rsid w:val="00CB5358"/>
    <w:rsid w:val="00CB536E"/>
    <w:rsid w:val="00CB5F52"/>
    <w:rsid w:val="00CB6952"/>
    <w:rsid w:val="00CB6F70"/>
    <w:rsid w:val="00CB710C"/>
    <w:rsid w:val="00CB72C8"/>
    <w:rsid w:val="00CB778A"/>
    <w:rsid w:val="00CB7813"/>
    <w:rsid w:val="00CB7866"/>
    <w:rsid w:val="00CB7C18"/>
    <w:rsid w:val="00CC065F"/>
    <w:rsid w:val="00CC06FA"/>
    <w:rsid w:val="00CC0D9F"/>
    <w:rsid w:val="00CC10CA"/>
    <w:rsid w:val="00CC145E"/>
    <w:rsid w:val="00CC14A5"/>
    <w:rsid w:val="00CC152E"/>
    <w:rsid w:val="00CC23AF"/>
    <w:rsid w:val="00CC2493"/>
    <w:rsid w:val="00CC29CD"/>
    <w:rsid w:val="00CC300B"/>
    <w:rsid w:val="00CC3222"/>
    <w:rsid w:val="00CC3242"/>
    <w:rsid w:val="00CC3385"/>
    <w:rsid w:val="00CC35F1"/>
    <w:rsid w:val="00CC35FF"/>
    <w:rsid w:val="00CC38E9"/>
    <w:rsid w:val="00CC3AA9"/>
    <w:rsid w:val="00CC48C4"/>
    <w:rsid w:val="00CC48C7"/>
    <w:rsid w:val="00CC5710"/>
    <w:rsid w:val="00CC57D7"/>
    <w:rsid w:val="00CC5E9E"/>
    <w:rsid w:val="00CC61F6"/>
    <w:rsid w:val="00CC7032"/>
    <w:rsid w:val="00CC73CE"/>
    <w:rsid w:val="00CC7822"/>
    <w:rsid w:val="00CD0357"/>
    <w:rsid w:val="00CD07D8"/>
    <w:rsid w:val="00CD0B34"/>
    <w:rsid w:val="00CD0BEB"/>
    <w:rsid w:val="00CD0E6E"/>
    <w:rsid w:val="00CD0F34"/>
    <w:rsid w:val="00CD11B9"/>
    <w:rsid w:val="00CD23AE"/>
    <w:rsid w:val="00CD27DF"/>
    <w:rsid w:val="00CD2A2D"/>
    <w:rsid w:val="00CD2D8A"/>
    <w:rsid w:val="00CD33AE"/>
    <w:rsid w:val="00CD368F"/>
    <w:rsid w:val="00CD3BAC"/>
    <w:rsid w:val="00CD3FF2"/>
    <w:rsid w:val="00CD4389"/>
    <w:rsid w:val="00CD4420"/>
    <w:rsid w:val="00CD4A65"/>
    <w:rsid w:val="00CD531F"/>
    <w:rsid w:val="00CD5922"/>
    <w:rsid w:val="00CD5BDC"/>
    <w:rsid w:val="00CD61FE"/>
    <w:rsid w:val="00CD6FA3"/>
    <w:rsid w:val="00CE11BC"/>
    <w:rsid w:val="00CE13DC"/>
    <w:rsid w:val="00CE185C"/>
    <w:rsid w:val="00CE1A71"/>
    <w:rsid w:val="00CE1A87"/>
    <w:rsid w:val="00CE1EC8"/>
    <w:rsid w:val="00CE2184"/>
    <w:rsid w:val="00CE2413"/>
    <w:rsid w:val="00CE27E9"/>
    <w:rsid w:val="00CE2814"/>
    <w:rsid w:val="00CE2A7D"/>
    <w:rsid w:val="00CE2E92"/>
    <w:rsid w:val="00CE3228"/>
    <w:rsid w:val="00CE3B44"/>
    <w:rsid w:val="00CE3B7F"/>
    <w:rsid w:val="00CE3FA2"/>
    <w:rsid w:val="00CE41A0"/>
    <w:rsid w:val="00CE4958"/>
    <w:rsid w:val="00CE4BE8"/>
    <w:rsid w:val="00CE535A"/>
    <w:rsid w:val="00CE53ED"/>
    <w:rsid w:val="00CE54BC"/>
    <w:rsid w:val="00CE5A30"/>
    <w:rsid w:val="00CE5CF5"/>
    <w:rsid w:val="00CE64F6"/>
    <w:rsid w:val="00CE65A7"/>
    <w:rsid w:val="00CE68E2"/>
    <w:rsid w:val="00CE696D"/>
    <w:rsid w:val="00CE6BF5"/>
    <w:rsid w:val="00CE6E03"/>
    <w:rsid w:val="00CE706E"/>
    <w:rsid w:val="00CE70B1"/>
    <w:rsid w:val="00CE7197"/>
    <w:rsid w:val="00CE7AE4"/>
    <w:rsid w:val="00CE7BFC"/>
    <w:rsid w:val="00CE7F23"/>
    <w:rsid w:val="00CF048D"/>
    <w:rsid w:val="00CF04AE"/>
    <w:rsid w:val="00CF0A4C"/>
    <w:rsid w:val="00CF1411"/>
    <w:rsid w:val="00CF150A"/>
    <w:rsid w:val="00CF1E02"/>
    <w:rsid w:val="00CF2225"/>
    <w:rsid w:val="00CF23B3"/>
    <w:rsid w:val="00CF25E7"/>
    <w:rsid w:val="00CF2E22"/>
    <w:rsid w:val="00CF3904"/>
    <w:rsid w:val="00CF3A72"/>
    <w:rsid w:val="00CF3C77"/>
    <w:rsid w:val="00CF4033"/>
    <w:rsid w:val="00CF4284"/>
    <w:rsid w:val="00CF45A2"/>
    <w:rsid w:val="00CF4CC5"/>
    <w:rsid w:val="00CF4EF2"/>
    <w:rsid w:val="00CF52E7"/>
    <w:rsid w:val="00CF535D"/>
    <w:rsid w:val="00CF584B"/>
    <w:rsid w:val="00CF62C8"/>
    <w:rsid w:val="00CF64B5"/>
    <w:rsid w:val="00CF6D9C"/>
    <w:rsid w:val="00CF77C8"/>
    <w:rsid w:val="00CF7853"/>
    <w:rsid w:val="00CF7A1A"/>
    <w:rsid w:val="00CF7DC1"/>
    <w:rsid w:val="00D004ED"/>
    <w:rsid w:val="00D007F6"/>
    <w:rsid w:val="00D00C28"/>
    <w:rsid w:val="00D012D0"/>
    <w:rsid w:val="00D01737"/>
    <w:rsid w:val="00D02058"/>
    <w:rsid w:val="00D0260F"/>
    <w:rsid w:val="00D02679"/>
    <w:rsid w:val="00D02D97"/>
    <w:rsid w:val="00D02DD6"/>
    <w:rsid w:val="00D031E3"/>
    <w:rsid w:val="00D03708"/>
    <w:rsid w:val="00D0382D"/>
    <w:rsid w:val="00D03A21"/>
    <w:rsid w:val="00D03C0A"/>
    <w:rsid w:val="00D03D6A"/>
    <w:rsid w:val="00D0441D"/>
    <w:rsid w:val="00D049A0"/>
    <w:rsid w:val="00D053A3"/>
    <w:rsid w:val="00D054C6"/>
    <w:rsid w:val="00D05D3B"/>
    <w:rsid w:val="00D06073"/>
    <w:rsid w:val="00D06776"/>
    <w:rsid w:val="00D06D27"/>
    <w:rsid w:val="00D06E46"/>
    <w:rsid w:val="00D06F95"/>
    <w:rsid w:val="00D073CC"/>
    <w:rsid w:val="00D079D8"/>
    <w:rsid w:val="00D07A09"/>
    <w:rsid w:val="00D10671"/>
    <w:rsid w:val="00D1158C"/>
    <w:rsid w:val="00D11600"/>
    <w:rsid w:val="00D119A2"/>
    <w:rsid w:val="00D11E23"/>
    <w:rsid w:val="00D12091"/>
    <w:rsid w:val="00D1215C"/>
    <w:rsid w:val="00D123C0"/>
    <w:rsid w:val="00D124ED"/>
    <w:rsid w:val="00D1252B"/>
    <w:rsid w:val="00D12C85"/>
    <w:rsid w:val="00D12DD6"/>
    <w:rsid w:val="00D12E31"/>
    <w:rsid w:val="00D13178"/>
    <w:rsid w:val="00D13468"/>
    <w:rsid w:val="00D13583"/>
    <w:rsid w:val="00D1368B"/>
    <w:rsid w:val="00D137F9"/>
    <w:rsid w:val="00D13D06"/>
    <w:rsid w:val="00D13E40"/>
    <w:rsid w:val="00D143DB"/>
    <w:rsid w:val="00D1458C"/>
    <w:rsid w:val="00D14EE1"/>
    <w:rsid w:val="00D1518F"/>
    <w:rsid w:val="00D151E3"/>
    <w:rsid w:val="00D1572A"/>
    <w:rsid w:val="00D15928"/>
    <w:rsid w:val="00D15966"/>
    <w:rsid w:val="00D1620E"/>
    <w:rsid w:val="00D16867"/>
    <w:rsid w:val="00D16AED"/>
    <w:rsid w:val="00D16DCA"/>
    <w:rsid w:val="00D16EEC"/>
    <w:rsid w:val="00D16FEE"/>
    <w:rsid w:val="00D17C46"/>
    <w:rsid w:val="00D17DBB"/>
    <w:rsid w:val="00D20200"/>
    <w:rsid w:val="00D203FD"/>
    <w:rsid w:val="00D2047A"/>
    <w:rsid w:val="00D20631"/>
    <w:rsid w:val="00D20672"/>
    <w:rsid w:val="00D207FC"/>
    <w:rsid w:val="00D210D4"/>
    <w:rsid w:val="00D2114A"/>
    <w:rsid w:val="00D215C5"/>
    <w:rsid w:val="00D218CE"/>
    <w:rsid w:val="00D21EA2"/>
    <w:rsid w:val="00D224A1"/>
    <w:rsid w:val="00D2260B"/>
    <w:rsid w:val="00D22772"/>
    <w:rsid w:val="00D22912"/>
    <w:rsid w:val="00D22990"/>
    <w:rsid w:val="00D22D49"/>
    <w:rsid w:val="00D22E1E"/>
    <w:rsid w:val="00D22F40"/>
    <w:rsid w:val="00D230EA"/>
    <w:rsid w:val="00D231C2"/>
    <w:rsid w:val="00D2359E"/>
    <w:rsid w:val="00D23930"/>
    <w:rsid w:val="00D23A23"/>
    <w:rsid w:val="00D24972"/>
    <w:rsid w:val="00D24C71"/>
    <w:rsid w:val="00D24D70"/>
    <w:rsid w:val="00D24D8A"/>
    <w:rsid w:val="00D24DA4"/>
    <w:rsid w:val="00D25235"/>
    <w:rsid w:val="00D25383"/>
    <w:rsid w:val="00D25670"/>
    <w:rsid w:val="00D25934"/>
    <w:rsid w:val="00D262E5"/>
    <w:rsid w:val="00D26619"/>
    <w:rsid w:val="00D26CD8"/>
    <w:rsid w:val="00D26DB4"/>
    <w:rsid w:val="00D27181"/>
    <w:rsid w:val="00D27569"/>
    <w:rsid w:val="00D278CF"/>
    <w:rsid w:val="00D27B16"/>
    <w:rsid w:val="00D301FF"/>
    <w:rsid w:val="00D3067C"/>
    <w:rsid w:val="00D30790"/>
    <w:rsid w:val="00D30CD9"/>
    <w:rsid w:val="00D30E9B"/>
    <w:rsid w:val="00D30F3A"/>
    <w:rsid w:val="00D31502"/>
    <w:rsid w:val="00D31571"/>
    <w:rsid w:val="00D316D5"/>
    <w:rsid w:val="00D31E9A"/>
    <w:rsid w:val="00D3257F"/>
    <w:rsid w:val="00D326DE"/>
    <w:rsid w:val="00D32D88"/>
    <w:rsid w:val="00D3314B"/>
    <w:rsid w:val="00D335F3"/>
    <w:rsid w:val="00D337F8"/>
    <w:rsid w:val="00D3389B"/>
    <w:rsid w:val="00D338B9"/>
    <w:rsid w:val="00D33CD0"/>
    <w:rsid w:val="00D33E37"/>
    <w:rsid w:val="00D340E2"/>
    <w:rsid w:val="00D34156"/>
    <w:rsid w:val="00D34253"/>
    <w:rsid w:val="00D345AA"/>
    <w:rsid w:val="00D34731"/>
    <w:rsid w:val="00D35694"/>
    <w:rsid w:val="00D35D87"/>
    <w:rsid w:val="00D35DEB"/>
    <w:rsid w:val="00D36827"/>
    <w:rsid w:val="00D36887"/>
    <w:rsid w:val="00D36908"/>
    <w:rsid w:val="00D36DC9"/>
    <w:rsid w:val="00D36ECE"/>
    <w:rsid w:val="00D370E0"/>
    <w:rsid w:val="00D37563"/>
    <w:rsid w:val="00D3756C"/>
    <w:rsid w:val="00D37644"/>
    <w:rsid w:val="00D379EB"/>
    <w:rsid w:val="00D400B8"/>
    <w:rsid w:val="00D4022C"/>
    <w:rsid w:val="00D4032C"/>
    <w:rsid w:val="00D40555"/>
    <w:rsid w:val="00D40C3F"/>
    <w:rsid w:val="00D41023"/>
    <w:rsid w:val="00D4118B"/>
    <w:rsid w:val="00D41505"/>
    <w:rsid w:val="00D4156C"/>
    <w:rsid w:val="00D41C6C"/>
    <w:rsid w:val="00D422E7"/>
    <w:rsid w:val="00D423A9"/>
    <w:rsid w:val="00D42465"/>
    <w:rsid w:val="00D42472"/>
    <w:rsid w:val="00D42B90"/>
    <w:rsid w:val="00D42E5B"/>
    <w:rsid w:val="00D434B3"/>
    <w:rsid w:val="00D436C2"/>
    <w:rsid w:val="00D437CD"/>
    <w:rsid w:val="00D439D1"/>
    <w:rsid w:val="00D43C68"/>
    <w:rsid w:val="00D43EAC"/>
    <w:rsid w:val="00D444B2"/>
    <w:rsid w:val="00D445BC"/>
    <w:rsid w:val="00D44696"/>
    <w:rsid w:val="00D44829"/>
    <w:rsid w:val="00D44840"/>
    <w:rsid w:val="00D44A98"/>
    <w:rsid w:val="00D44FDD"/>
    <w:rsid w:val="00D453E4"/>
    <w:rsid w:val="00D45466"/>
    <w:rsid w:val="00D454DB"/>
    <w:rsid w:val="00D46121"/>
    <w:rsid w:val="00D464C6"/>
    <w:rsid w:val="00D47226"/>
    <w:rsid w:val="00D47382"/>
    <w:rsid w:val="00D474B0"/>
    <w:rsid w:val="00D47616"/>
    <w:rsid w:val="00D476BB"/>
    <w:rsid w:val="00D47D84"/>
    <w:rsid w:val="00D5035A"/>
    <w:rsid w:val="00D5059E"/>
    <w:rsid w:val="00D5067E"/>
    <w:rsid w:val="00D50A12"/>
    <w:rsid w:val="00D50B21"/>
    <w:rsid w:val="00D5120F"/>
    <w:rsid w:val="00D51349"/>
    <w:rsid w:val="00D5175C"/>
    <w:rsid w:val="00D51B1B"/>
    <w:rsid w:val="00D51BE3"/>
    <w:rsid w:val="00D52018"/>
    <w:rsid w:val="00D527AF"/>
    <w:rsid w:val="00D529E1"/>
    <w:rsid w:val="00D52A3D"/>
    <w:rsid w:val="00D52B1B"/>
    <w:rsid w:val="00D52BDD"/>
    <w:rsid w:val="00D5329E"/>
    <w:rsid w:val="00D534C2"/>
    <w:rsid w:val="00D535C6"/>
    <w:rsid w:val="00D53F81"/>
    <w:rsid w:val="00D5410F"/>
    <w:rsid w:val="00D54402"/>
    <w:rsid w:val="00D54A02"/>
    <w:rsid w:val="00D55174"/>
    <w:rsid w:val="00D55828"/>
    <w:rsid w:val="00D558FA"/>
    <w:rsid w:val="00D55F83"/>
    <w:rsid w:val="00D561C7"/>
    <w:rsid w:val="00D564DF"/>
    <w:rsid w:val="00D5650E"/>
    <w:rsid w:val="00D56992"/>
    <w:rsid w:val="00D576DD"/>
    <w:rsid w:val="00D57CB4"/>
    <w:rsid w:val="00D57DEC"/>
    <w:rsid w:val="00D57E0B"/>
    <w:rsid w:val="00D600C3"/>
    <w:rsid w:val="00D60EE8"/>
    <w:rsid w:val="00D60F21"/>
    <w:rsid w:val="00D61125"/>
    <w:rsid w:val="00D61477"/>
    <w:rsid w:val="00D615B2"/>
    <w:rsid w:val="00D615C7"/>
    <w:rsid w:val="00D616D4"/>
    <w:rsid w:val="00D619E2"/>
    <w:rsid w:val="00D61A5B"/>
    <w:rsid w:val="00D62036"/>
    <w:rsid w:val="00D620CC"/>
    <w:rsid w:val="00D62236"/>
    <w:rsid w:val="00D6315F"/>
    <w:rsid w:val="00D6324C"/>
    <w:rsid w:val="00D634B8"/>
    <w:rsid w:val="00D63818"/>
    <w:rsid w:val="00D639B1"/>
    <w:rsid w:val="00D63EF3"/>
    <w:rsid w:val="00D63F9F"/>
    <w:rsid w:val="00D64097"/>
    <w:rsid w:val="00D641A3"/>
    <w:rsid w:val="00D64441"/>
    <w:rsid w:val="00D64C6D"/>
    <w:rsid w:val="00D65497"/>
    <w:rsid w:val="00D654DA"/>
    <w:rsid w:val="00D6609E"/>
    <w:rsid w:val="00D6667F"/>
    <w:rsid w:val="00D671CB"/>
    <w:rsid w:val="00D67824"/>
    <w:rsid w:val="00D67A9F"/>
    <w:rsid w:val="00D67C20"/>
    <w:rsid w:val="00D703B4"/>
    <w:rsid w:val="00D70C1B"/>
    <w:rsid w:val="00D70E5C"/>
    <w:rsid w:val="00D7101E"/>
    <w:rsid w:val="00D7146C"/>
    <w:rsid w:val="00D71565"/>
    <w:rsid w:val="00D718CD"/>
    <w:rsid w:val="00D718DF"/>
    <w:rsid w:val="00D71CD2"/>
    <w:rsid w:val="00D71D0F"/>
    <w:rsid w:val="00D71E63"/>
    <w:rsid w:val="00D72628"/>
    <w:rsid w:val="00D72812"/>
    <w:rsid w:val="00D72DEF"/>
    <w:rsid w:val="00D731B8"/>
    <w:rsid w:val="00D73426"/>
    <w:rsid w:val="00D73705"/>
    <w:rsid w:val="00D7378F"/>
    <w:rsid w:val="00D73A45"/>
    <w:rsid w:val="00D73C1D"/>
    <w:rsid w:val="00D7416F"/>
    <w:rsid w:val="00D74751"/>
    <w:rsid w:val="00D755F2"/>
    <w:rsid w:val="00D757C7"/>
    <w:rsid w:val="00D75AB8"/>
    <w:rsid w:val="00D75BFD"/>
    <w:rsid w:val="00D762AC"/>
    <w:rsid w:val="00D762B8"/>
    <w:rsid w:val="00D7639F"/>
    <w:rsid w:val="00D764DA"/>
    <w:rsid w:val="00D76AD0"/>
    <w:rsid w:val="00D76C86"/>
    <w:rsid w:val="00D7720C"/>
    <w:rsid w:val="00D77494"/>
    <w:rsid w:val="00D775E7"/>
    <w:rsid w:val="00D77B9E"/>
    <w:rsid w:val="00D77BD0"/>
    <w:rsid w:val="00D804BC"/>
    <w:rsid w:val="00D817FD"/>
    <w:rsid w:val="00D81CA9"/>
    <w:rsid w:val="00D81D27"/>
    <w:rsid w:val="00D8261C"/>
    <w:rsid w:val="00D82FB4"/>
    <w:rsid w:val="00D83024"/>
    <w:rsid w:val="00D839D8"/>
    <w:rsid w:val="00D83F30"/>
    <w:rsid w:val="00D83F9E"/>
    <w:rsid w:val="00D840C2"/>
    <w:rsid w:val="00D840F0"/>
    <w:rsid w:val="00D841C0"/>
    <w:rsid w:val="00D841CE"/>
    <w:rsid w:val="00D84562"/>
    <w:rsid w:val="00D859B9"/>
    <w:rsid w:val="00D85A85"/>
    <w:rsid w:val="00D85C16"/>
    <w:rsid w:val="00D86169"/>
    <w:rsid w:val="00D86B0D"/>
    <w:rsid w:val="00D8732E"/>
    <w:rsid w:val="00D87E67"/>
    <w:rsid w:val="00D87EDF"/>
    <w:rsid w:val="00D90391"/>
    <w:rsid w:val="00D91092"/>
    <w:rsid w:val="00D91294"/>
    <w:rsid w:val="00D917E6"/>
    <w:rsid w:val="00D9186A"/>
    <w:rsid w:val="00D91AB0"/>
    <w:rsid w:val="00D9249A"/>
    <w:rsid w:val="00D92D47"/>
    <w:rsid w:val="00D92D6C"/>
    <w:rsid w:val="00D92F2F"/>
    <w:rsid w:val="00D94213"/>
    <w:rsid w:val="00D94435"/>
    <w:rsid w:val="00D94446"/>
    <w:rsid w:val="00D94836"/>
    <w:rsid w:val="00D94BEB"/>
    <w:rsid w:val="00D94C93"/>
    <w:rsid w:val="00D94EA5"/>
    <w:rsid w:val="00D94ED4"/>
    <w:rsid w:val="00D95DCE"/>
    <w:rsid w:val="00D95F32"/>
    <w:rsid w:val="00D962F4"/>
    <w:rsid w:val="00D96BF3"/>
    <w:rsid w:val="00D971A8"/>
    <w:rsid w:val="00D97280"/>
    <w:rsid w:val="00D9736F"/>
    <w:rsid w:val="00D978C7"/>
    <w:rsid w:val="00D97965"/>
    <w:rsid w:val="00D97D12"/>
    <w:rsid w:val="00DA024A"/>
    <w:rsid w:val="00DA07EE"/>
    <w:rsid w:val="00DA0A58"/>
    <w:rsid w:val="00DA0B26"/>
    <w:rsid w:val="00DA0B79"/>
    <w:rsid w:val="00DA0B94"/>
    <w:rsid w:val="00DA0D00"/>
    <w:rsid w:val="00DA0DFD"/>
    <w:rsid w:val="00DA174F"/>
    <w:rsid w:val="00DA18FA"/>
    <w:rsid w:val="00DA1A8B"/>
    <w:rsid w:val="00DA1B59"/>
    <w:rsid w:val="00DA1C85"/>
    <w:rsid w:val="00DA1CC9"/>
    <w:rsid w:val="00DA2382"/>
    <w:rsid w:val="00DA2725"/>
    <w:rsid w:val="00DA29A8"/>
    <w:rsid w:val="00DA2BEC"/>
    <w:rsid w:val="00DA2D9A"/>
    <w:rsid w:val="00DA2E58"/>
    <w:rsid w:val="00DA2F9C"/>
    <w:rsid w:val="00DA303E"/>
    <w:rsid w:val="00DA328E"/>
    <w:rsid w:val="00DA35E6"/>
    <w:rsid w:val="00DA3AA6"/>
    <w:rsid w:val="00DA3FF5"/>
    <w:rsid w:val="00DA4266"/>
    <w:rsid w:val="00DA4420"/>
    <w:rsid w:val="00DA4464"/>
    <w:rsid w:val="00DA46C1"/>
    <w:rsid w:val="00DA4C44"/>
    <w:rsid w:val="00DA4CCC"/>
    <w:rsid w:val="00DA5ADF"/>
    <w:rsid w:val="00DA5BEF"/>
    <w:rsid w:val="00DA6038"/>
    <w:rsid w:val="00DA6304"/>
    <w:rsid w:val="00DA69C8"/>
    <w:rsid w:val="00DA70DD"/>
    <w:rsid w:val="00DA72BD"/>
    <w:rsid w:val="00DA74C7"/>
    <w:rsid w:val="00DA7747"/>
    <w:rsid w:val="00DA7B5A"/>
    <w:rsid w:val="00DA7C52"/>
    <w:rsid w:val="00DA7DBF"/>
    <w:rsid w:val="00DA7F1D"/>
    <w:rsid w:val="00DB05CF"/>
    <w:rsid w:val="00DB088F"/>
    <w:rsid w:val="00DB0B4A"/>
    <w:rsid w:val="00DB0DB1"/>
    <w:rsid w:val="00DB0EC1"/>
    <w:rsid w:val="00DB1487"/>
    <w:rsid w:val="00DB16E9"/>
    <w:rsid w:val="00DB1964"/>
    <w:rsid w:val="00DB19B4"/>
    <w:rsid w:val="00DB19F1"/>
    <w:rsid w:val="00DB1D47"/>
    <w:rsid w:val="00DB1E2E"/>
    <w:rsid w:val="00DB1EB5"/>
    <w:rsid w:val="00DB211E"/>
    <w:rsid w:val="00DB26AE"/>
    <w:rsid w:val="00DB3033"/>
    <w:rsid w:val="00DB3962"/>
    <w:rsid w:val="00DB3A53"/>
    <w:rsid w:val="00DB3DA0"/>
    <w:rsid w:val="00DB4411"/>
    <w:rsid w:val="00DB466D"/>
    <w:rsid w:val="00DB482C"/>
    <w:rsid w:val="00DB5018"/>
    <w:rsid w:val="00DB56B3"/>
    <w:rsid w:val="00DB5B06"/>
    <w:rsid w:val="00DB5B52"/>
    <w:rsid w:val="00DB5DD8"/>
    <w:rsid w:val="00DB5E90"/>
    <w:rsid w:val="00DB5FD0"/>
    <w:rsid w:val="00DB614A"/>
    <w:rsid w:val="00DB67E4"/>
    <w:rsid w:val="00DB6866"/>
    <w:rsid w:val="00DB6927"/>
    <w:rsid w:val="00DB69BC"/>
    <w:rsid w:val="00DB6EC5"/>
    <w:rsid w:val="00DB7395"/>
    <w:rsid w:val="00DB73B6"/>
    <w:rsid w:val="00DB75C2"/>
    <w:rsid w:val="00DB766F"/>
    <w:rsid w:val="00DB7D87"/>
    <w:rsid w:val="00DB7E2C"/>
    <w:rsid w:val="00DC027B"/>
    <w:rsid w:val="00DC04B9"/>
    <w:rsid w:val="00DC0689"/>
    <w:rsid w:val="00DC078E"/>
    <w:rsid w:val="00DC0A64"/>
    <w:rsid w:val="00DC0B31"/>
    <w:rsid w:val="00DC0FC4"/>
    <w:rsid w:val="00DC136D"/>
    <w:rsid w:val="00DC1B9A"/>
    <w:rsid w:val="00DC1DA7"/>
    <w:rsid w:val="00DC22F9"/>
    <w:rsid w:val="00DC2343"/>
    <w:rsid w:val="00DC2344"/>
    <w:rsid w:val="00DC2B06"/>
    <w:rsid w:val="00DC2E4F"/>
    <w:rsid w:val="00DC3665"/>
    <w:rsid w:val="00DC384C"/>
    <w:rsid w:val="00DC39E7"/>
    <w:rsid w:val="00DC3E16"/>
    <w:rsid w:val="00DC3F42"/>
    <w:rsid w:val="00DC40A3"/>
    <w:rsid w:val="00DC40C4"/>
    <w:rsid w:val="00DC417B"/>
    <w:rsid w:val="00DC4914"/>
    <w:rsid w:val="00DC4AFD"/>
    <w:rsid w:val="00DC4BD9"/>
    <w:rsid w:val="00DC4D87"/>
    <w:rsid w:val="00DC4D8A"/>
    <w:rsid w:val="00DC4DA3"/>
    <w:rsid w:val="00DC4DD6"/>
    <w:rsid w:val="00DC4EF6"/>
    <w:rsid w:val="00DC538E"/>
    <w:rsid w:val="00DC553D"/>
    <w:rsid w:val="00DC5551"/>
    <w:rsid w:val="00DC55ED"/>
    <w:rsid w:val="00DC571A"/>
    <w:rsid w:val="00DC59C5"/>
    <w:rsid w:val="00DC618C"/>
    <w:rsid w:val="00DC628A"/>
    <w:rsid w:val="00DC648F"/>
    <w:rsid w:val="00DC65E8"/>
    <w:rsid w:val="00DC6737"/>
    <w:rsid w:val="00DC6B86"/>
    <w:rsid w:val="00DC6DF6"/>
    <w:rsid w:val="00DC6E64"/>
    <w:rsid w:val="00DC6E8C"/>
    <w:rsid w:val="00DC7586"/>
    <w:rsid w:val="00DC75D3"/>
    <w:rsid w:val="00DC7BFE"/>
    <w:rsid w:val="00DD0366"/>
    <w:rsid w:val="00DD03B4"/>
    <w:rsid w:val="00DD0766"/>
    <w:rsid w:val="00DD08C7"/>
    <w:rsid w:val="00DD0E32"/>
    <w:rsid w:val="00DD128E"/>
    <w:rsid w:val="00DD1A10"/>
    <w:rsid w:val="00DD1B92"/>
    <w:rsid w:val="00DD1C45"/>
    <w:rsid w:val="00DD1E79"/>
    <w:rsid w:val="00DD1F0A"/>
    <w:rsid w:val="00DD200D"/>
    <w:rsid w:val="00DD21A5"/>
    <w:rsid w:val="00DD24D1"/>
    <w:rsid w:val="00DD2990"/>
    <w:rsid w:val="00DD2BDC"/>
    <w:rsid w:val="00DD2FE9"/>
    <w:rsid w:val="00DD337A"/>
    <w:rsid w:val="00DD344E"/>
    <w:rsid w:val="00DD3841"/>
    <w:rsid w:val="00DD3A34"/>
    <w:rsid w:val="00DD3A7E"/>
    <w:rsid w:val="00DD3B09"/>
    <w:rsid w:val="00DD3D8D"/>
    <w:rsid w:val="00DD434E"/>
    <w:rsid w:val="00DD4402"/>
    <w:rsid w:val="00DD4431"/>
    <w:rsid w:val="00DD472C"/>
    <w:rsid w:val="00DD4EA5"/>
    <w:rsid w:val="00DD54F9"/>
    <w:rsid w:val="00DD581F"/>
    <w:rsid w:val="00DD5A34"/>
    <w:rsid w:val="00DD5D7A"/>
    <w:rsid w:val="00DD60D0"/>
    <w:rsid w:val="00DD6200"/>
    <w:rsid w:val="00DD686C"/>
    <w:rsid w:val="00DD6CE8"/>
    <w:rsid w:val="00DD6E86"/>
    <w:rsid w:val="00DD7B9B"/>
    <w:rsid w:val="00DD7F16"/>
    <w:rsid w:val="00DE0181"/>
    <w:rsid w:val="00DE02ED"/>
    <w:rsid w:val="00DE0BFE"/>
    <w:rsid w:val="00DE0E5D"/>
    <w:rsid w:val="00DE14D4"/>
    <w:rsid w:val="00DE1747"/>
    <w:rsid w:val="00DE1E75"/>
    <w:rsid w:val="00DE2767"/>
    <w:rsid w:val="00DE2CB9"/>
    <w:rsid w:val="00DE3216"/>
    <w:rsid w:val="00DE3259"/>
    <w:rsid w:val="00DE39E0"/>
    <w:rsid w:val="00DE3D83"/>
    <w:rsid w:val="00DE420D"/>
    <w:rsid w:val="00DE447F"/>
    <w:rsid w:val="00DE470A"/>
    <w:rsid w:val="00DE48F0"/>
    <w:rsid w:val="00DE4A77"/>
    <w:rsid w:val="00DE4E5A"/>
    <w:rsid w:val="00DE50D6"/>
    <w:rsid w:val="00DE5C30"/>
    <w:rsid w:val="00DE637C"/>
    <w:rsid w:val="00DE6480"/>
    <w:rsid w:val="00DE6709"/>
    <w:rsid w:val="00DE68C8"/>
    <w:rsid w:val="00DE68EE"/>
    <w:rsid w:val="00DE6BCA"/>
    <w:rsid w:val="00DE6D24"/>
    <w:rsid w:val="00DE7285"/>
    <w:rsid w:val="00DE7C40"/>
    <w:rsid w:val="00DF023A"/>
    <w:rsid w:val="00DF0302"/>
    <w:rsid w:val="00DF050E"/>
    <w:rsid w:val="00DF057A"/>
    <w:rsid w:val="00DF079F"/>
    <w:rsid w:val="00DF0840"/>
    <w:rsid w:val="00DF0B77"/>
    <w:rsid w:val="00DF0E2D"/>
    <w:rsid w:val="00DF0EA5"/>
    <w:rsid w:val="00DF1142"/>
    <w:rsid w:val="00DF1F1D"/>
    <w:rsid w:val="00DF23A5"/>
    <w:rsid w:val="00DF2A16"/>
    <w:rsid w:val="00DF2E8B"/>
    <w:rsid w:val="00DF3100"/>
    <w:rsid w:val="00DF38B6"/>
    <w:rsid w:val="00DF4C6E"/>
    <w:rsid w:val="00DF51CA"/>
    <w:rsid w:val="00DF58BB"/>
    <w:rsid w:val="00DF6666"/>
    <w:rsid w:val="00DF745E"/>
    <w:rsid w:val="00DF762E"/>
    <w:rsid w:val="00DF79C5"/>
    <w:rsid w:val="00DF7B87"/>
    <w:rsid w:val="00E0000E"/>
    <w:rsid w:val="00E001B3"/>
    <w:rsid w:val="00E001B7"/>
    <w:rsid w:val="00E003B4"/>
    <w:rsid w:val="00E00420"/>
    <w:rsid w:val="00E0044E"/>
    <w:rsid w:val="00E00816"/>
    <w:rsid w:val="00E00B61"/>
    <w:rsid w:val="00E0104B"/>
    <w:rsid w:val="00E0120C"/>
    <w:rsid w:val="00E01255"/>
    <w:rsid w:val="00E014D1"/>
    <w:rsid w:val="00E01BB0"/>
    <w:rsid w:val="00E01BBD"/>
    <w:rsid w:val="00E0239F"/>
    <w:rsid w:val="00E0267B"/>
    <w:rsid w:val="00E026B2"/>
    <w:rsid w:val="00E026EB"/>
    <w:rsid w:val="00E029A7"/>
    <w:rsid w:val="00E030D4"/>
    <w:rsid w:val="00E03396"/>
    <w:rsid w:val="00E038BF"/>
    <w:rsid w:val="00E03ACC"/>
    <w:rsid w:val="00E03F12"/>
    <w:rsid w:val="00E04441"/>
    <w:rsid w:val="00E04736"/>
    <w:rsid w:val="00E04D57"/>
    <w:rsid w:val="00E05898"/>
    <w:rsid w:val="00E05F03"/>
    <w:rsid w:val="00E06303"/>
    <w:rsid w:val="00E06370"/>
    <w:rsid w:val="00E06A90"/>
    <w:rsid w:val="00E06B7B"/>
    <w:rsid w:val="00E06E20"/>
    <w:rsid w:val="00E07847"/>
    <w:rsid w:val="00E07AAC"/>
    <w:rsid w:val="00E07DD9"/>
    <w:rsid w:val="00E102F8"/>
    <w:rsid w:val="00E10416"/>
    <w:rsid w:val="00E106C4"/>
    <w:rsid w:val="00E10765"/>
    <w:rsid w:val="00E10B19"/>
    <w:rsid w:val="00E11C35"/>
    <w:rsid w:val="00E11F99"/>
    <w:rsid w:val="00E120BA"/>
    <w:rsid w:val="00E12E84"/>
    <w:rsid w:val="00E12FCF"/>
    <w:rsid w:val="00E13012"/>
    <w:rsid w:val="00E13273"/>
    <w:rsid w:val="00E13379"/>
    <w:rsid w:val="00E13708"/>
    <w:rsid w:val="00E139EE"/>
    <w:rsid w:val="00E140B5"/>
    <w:rsid w:val="00E14227"/>
    <w:rsid w:val="00E142C0"/>
    <w:rsid w:val="00E14B0C"/>
    <w:rsid w:val="00E14D83"/>
    <w:rsid w:val="00E14FA6"/>
    <w:rsid w:val="00E153C0"/>
    <w:rsid w:val="00E15A0D"/>
    <w:rsid w:val="00E15BC6"/>
    <w:rsid w:val="00E160B4"/>
    <w:rsid w:val="00E160FE"/>
    <w:rsid w:val="00E16640"/>
    <w:rsid w:val="00E16B43"/>
    <w:rsid w:val="00E16F32"/>
    <w:rsid w:val="00E17224"/>
    <w:rsid w:val="00E1740F"/>
    <w:rsid w:val="00E200CF"/>
    <w:rsid w:val="00E20795"/>
    <w:rsid w:val="00E20A1A"/>
    <w:rsid w:val="00E20BB5"/>
    <w:rsid w:val="00E21A07"/>
    <w:rsid w:val="00E21A4F"/>
    <w:rsid w:val="00E21DCB"/>
    <w:rsid w:val="00E234CE"/>
    <w:rsid w:val="00E23696"/>
    <w:rsid w:val="00E239AD"/>
    <w:rsid w:val="00E23B67"/>
    <w:rsid w:val="00E24287"/>
    <w:rsid w:val="00E246EE"/>
    <w:rsid w:val="00E24B74"/>
    <w:rsid w:val="00E24CF7"/>
    <w:rsid w:val="00E2514E"/>
    <w:rsid w:val="00E258A1"/>
    <w:rsid w:val="00E26839"/>
    <w:rsid w:val="00E27A29"/>
    <w:rsid w:val="00E27B03"/>
    <w:rsid w:val="00E27D74"/>
    <w:rsid w:val="00E30E5B"/>
    <w:rsid w:val="00E3111D"/>
    <w:rsid w:val="00E31367"/>
    <w:rsid w:val="00E31770"/>
    <w:rsid w:val="00E3181C"/>
    <w:rsid w:val="00E31E4A"/>
    <w:rsid w:val="00E329C2"/>
    <w:rsid w:val="00E32EF3"/>
    <w:rsid w:val="00E33329"/>
    <w:rsid w:val="00E33A8F"/>
    <w:rsid w:val="00E33E21"/>
    <w:rsid w:val="00E33EE3"/>
    <w:rsid w:val="00E33FCC"/>
    <w:rsid w:val="00E34520"/>
    <w:rsid w:val="00E34BC4"/>
    <w:rsid w:val="00E34D41"/>
    <w:rsid w:val="00E34E5E"/>
    <w:rsid w:val="00E3502F"/>
    <w:rsid w:val="00E352A1"/>
    <w:rsid w:val="00E3540C"/>
    <w:rsid w:val="00E35576"/>
    <w:rsid w:val="00E356CB"/>
    <w:rsid w:val="00E35879"/>
    <w:rsid w:val="00E35C21"/>
    <w:rsid w:val="00E36187"/>
    <w:rsid w:val="00E3626E"/>
    <w:rsid w:val="00E36332"/>
    <w:rsid w:val="00E364EE"/>
    <w:rsid w:val="00E365AB"/>
    <w:rsid w:val="00E36C9B"/>
    <w:rsid w:val="00E36F66"/>
    <w:rsid w:val="00E372BF"/>
    <w:rsid w:val="00E37638"/>
    <w:rsid w:val="00E37E35"/>
    <w:rsid w:val="00E37E9D"/>
    <w:rsid w:val="00E407A2"/>
    <w:rsid w:val="00E409AB"/>
    <w:rsid w:val="00E40DEE"/>
    <w:rsid w:val="00E41072"/>
    <w:rsid w:val="00E41B71"/>
    <w:rsid w:val="00E41E14"/>
    <w:rsid w:val="00E41F46"/>
    <w:rsid w:val="00E42569"/>
    <w:rsid w:val="00E42985"/>
    <w:rsid w:val="00E42B71"/>
    <w:rsid w:val="00E434A0"/>
    <w:rsid w:val="00E4355A"/>
    <w:rsid w:val="00E43E86"/>
    <w:rsid w:val="00E44212"/>
    <w:rsid w:val="00E445C5"/>
    <w:rsid w:val="00E445C9"/>
    <w:rsid w:val="00E4483A"/>
    <w:rsid w:val="00E44D30"/>
    <w:rsid w:val="00E45974"/>
    <w:rsid w:val="00E4597F"/>
    <w:rsid w:val="00E461BD"/>
    <w:rsid w:val="00E4644D"/>
    <w:rsid w:val="00E464DC"/>
    <w:rsid w:val="00E46518"/>
    <w:rsid w:val="00E46CB7"/>
    <w:rsid w:val="00E4723D"/>
    <w:rsid w:val="00E47384"/>
    <w:rsid w:val="00E47612"/>
    <w:rsid w:val="00E47F3D"/>
    <w:rsid w:val="00E50007"/>
    <w:rsid w:val="00E5077C"/>
    <w:rsid w:val="00E508B8"/>
    <w:rsid w:val="00E508C7"/>
    <w:rsid w:val="00E50DCD"/>
    <w:rsid w:val="00E50EC8"/>
    <w:rsid w:val="00E51526"/>
    <w:rsid w:val="00E5159B"/>
    <w:rsid w:val="00E515C6"/>
    <w:rsid w:val="00E51739"/>
    <w:rsid w:val="00E518F9"/>
    <w:rsid w:val="00E51D9A"/>
    <w:rsid w:val="00E51FCA"/>
    <w:rsid w:val="00E52317"/>
    <w:rsid w:val="00E52E0D"/>
    <w:rsid w:val="00E52FE2"/>
    <w:rsid w:val="00E5324F"/>
    <w:rsid w:val="00E53AC3"/>
    <w:rsid w:val="00E53CCA"/>
    <w:rsid w:val="00E54629"/>
    <w:rsid w:val="00E54715"/>
    <w:rsid w:val="00E548C6"/>
    <w:rsid w:val="00E54D6B"/>
    <w:rsid w:val="00E54DDF"/>
    <w:rsid w:val="00E54E6F"/>
    <w:rsid w:val="00E5517E"/>
    <w:rsid w:val="00E55197"/>
    <w:rsid w:val="00E55338"/>
    <w:rsid w:val="00E559D5"/>
    <w:rsid w:val="00E55C51"/>
    <w:rsid w:val="00E55F65"/>
    <w:rsid w:val="00E55FD0"/>
    <w:rsid w:val="00E5602D"/>
    <w:rsid w:val="00E56268"/>
    <w:rsid w:val="00E562E2"/>
    <w:rsid w:val="00E56415"/>
    <w:rsid w:val="00E5656B"/>
    <w:rsid w:val="00E569AF"/>
    <w:rsid w:val="00E56AAD"/>
    <w:rsid w:val="00E56BC5"/>
    <w:rsid w:val="00E56C82"/>
    <w:rsid w:val="00E56EC1"/>
    <w:rsid w:val="00E5774E"/>
    <w:rsid w:val="00E578A4"/>
    <w:rsid w:val="00E57EEB"/>
    <w:rsid w:val="00E60318"/>
    <w:rsid w:val="00E60375"/>
    <w:rsid w:val="00E60469"/>
    <w:rsid w:val="00E60591"/>
    <w:rsid w:val="00E60BA8"/>
    <w:rsid w:val="00E6156B"/>
    <w:rsid w:val="00E61E25"/>
    <w:rsid w:val="00E61E28"/>
    <w:rsid w:val="00E62364"/>
    <w:rsid w:val="00E628E4"/>
    <w:rsid w:val="00E62BF7"/>
    <w:rsid w:val="00E62C10"/>
    <w:rsid w:val="00E62C8A"/>
    <w:rsid w:val="00E62FB3"/>
    <w:rsid w:val="00E6356E"/>
    <w:rsid w:val="00E63CD7"/>
    <w:rsid w:val="00E64036"/>
    <w:rsid w:val="00E644E9"/>
    <w:rsid w:val="00E647F7"/>
    <w:rsid w:val="00E648AD"/>
    <w:rsid w:val="00E6495B"/>
    <w:rsid w:val="00E64AB1"/>
    <w:rsid w:val="00E64E3C"/>
    <w:rsid w:val="00E65505"/>
    <w:rsid w:val="00E659A2"/>
    <w:rsid w:val="00E65A1E"/>
    <w:rsid w:val="00E65CE2"/>
    <w:rsid w:val="00E65EAD"/>
    <w:rsid w:val="00E65FF5"/>
    <w:rsid w:val="00E66424"/>
    <w:rsid w:val="00E664BD"/>
    <w:rsid w:val="00E667DB"/>
    <w:rsid w:val="00E66857"/>
    <w:rsid w:val="00E66888"/>
    <w:rsid w:val="00E66F4C"/>
    <w:rsid w:val="00E67457"/>
    <w:rsid w:val="00E6749A"/>
    <w:rsid w:val="00E67556"/>
    <w:rsid w:val="00E6777E"/>
    <w:rsid w:val="00E67919"/>
    <w:rsid w:val="00E67A97"/>
    <w:rsid w:val="00E701EA"/>
    <w:rsid w:val="00E70616"/>
    <w:rsid w:val="00E70DA8"/>
    <w:rsid w:val="00E711E9"/>
    <w:rsid w:val="00E7198D"/>
    <w:rsid w:val="00E71BB9"/>
    <w:rsid w:val="00E7252F"/>
    <w:rsid w:val="00E73274"/>
    <w:rsid w:val="00E73950"/>
    <w:rsid w:val="00E739AA"/>
    <w:rsid w:val="00E73BA5"/>
    <w:rsid w:val="00E73FC2"/>
    <w:rsid w:val="00E74175"/>
    <w:rsid w:val="00E7444C"/>
    <w:rsid w:val="00E74481"/>
    <w:rsid w:val="00E74517"/>
    <w:rsid w:val="00E7479E"/>
    <w:rsid w:val="00E7487B"/>
    <w:rsid w:val="00E752E4"/>
    <w:rsid w:val="00E753DE"/>
    <w:rsid w:val="00E755D7"/>
    <w:rsid w:val="00E7566D"/>
    <w:rsid w:val="00E75A52"/>
    <w:rsid w:val="00E75AB8"/>
    <w:rsid w:val="00E75B8D"/>
    <w:rsid w:val="00E75CB7"/>
    <w:rsid w:val="00E76D01"/>
    <w:rsid w:val="00E76E91"/>
    <w:rsid w:val="00E77071"/>
    <w:rsid w:val="00E7740C"/>
    <w:rsid w:val="00E77493"/>
    <w:rsid w:val="00E774B4"/>
    <w:rsid w:val="00E778F5"/>
    <w:rsid w:val="00E77BC8"/>
    <w:rsid w:val="00E8030F"/>
    <w:rsid w:val="00E80A1B"/>
    <w:rsid w:val="00E80E7C"/>
    <w:rsid w:val="00E81779"/>
    <w:rsid w:val="00E8205B"/>
    <w:rsid w:val="00E82444"/>
    <w:rsid w:val="00E82937"/>
    <w:rsid w:val="00E829A9"/>
    <w:rsid w:val="00E82F09"/>
    <w:rsid w:val="00E8341C"/>
    <w:rsid w:val="00E83623"/>
    <w:rsid w:val="00E83921"/>
    <w:rsid w:val="00E83938"/>
    <w:rsid w:val="00E83CF1"/>
    <w:rsid w:val="00E83E91"/>
    <w:rsid w:val="00E844AE"/>
    <w:rsid w:val="00E84694"/>
    <w:rsid w:val="00E84A59"/>
    <w:rsid w:val="00E84AA2"/>
    <w:rsid w:val="00E858DA"/>
    <w:rsid w:val="00E85B00"/>
    <w:rsid w:val="00E85BC8"/>
    <w:rsid w:val="00E85D31"/>
    <w:rsid w:val="00E8602B"/>
    <w:rsid w:val="00E86198"/>
    <w:rsid w:val="00E8642F"/>
    <w:rsid w:val="00E867FE"/>
    <w:rsid w:val="00E869BA"/>
    <w:rsid w:val="00E86B5F"/>
    <w:rsid w:val="00E87562"/>
    <w:rsid w:val="00E87731"/>
    <w:rsid w:val="00E877DC"/>
    <w:rsid w:val="00E87931"/>
    <w:rsid w:val="00E87D05"/>
    <w:rsid w:val="00E90071"/>
    <w:rsid w:val="00E90091"/>
    <w:rsid w:val="00E9014D"/>
    <w:rsid w:val="00E90AA5"/>
    <w:rsid w:val="00E911DB"/>
    <w:rsid w:val="00E91F96"/>
    <w:rsid w:val="00E9243A"/>
    <w:rsid w:val="00E92E99"/>
    <w:rsid w:val="00E9308A"/>
    <w:rsid w:val="00E93BA8"/>
    <w:rsid w:val="00E943F3"/>
    <w:rsid w:val="00E95255"/>
    <w:rsid w:val="00E9552B"/>
    <w:rsid w:val="00E95DD3"/>
    <w:rsid w:val="00E95E98"/>
    <w:rsid w:val="00E95F4F"/>
    <w:rsid w:val="00E962F8"/>
    <w:rsid w:val="00E968FD"/>
    <w:rsid w:val="00E96AFF"/>
    <w:rsid w:val="00E96D55"/>
    <w:rsid w:val="00E974D0"/>
    <w:rsid w:val="00E9768F"/>
    <w:rsid w:val="00E976DE"/>
    <w:rsid w:val="00E97869"/>
    <w:rsid w:val="00E97993"/>
    <w:rsid w:val="00EA0119"/>
    <w:rsid w:val="00EA0D5D"/>
    <w:rsid w:val="00EA0DB5"/>
    <w:rsid w:val="00EA111E"/>
    <w:rsid w:val="00EA1192"/>
    <w:rsid w:val="00EA11B7"/>
    <w:rsid w:val="00EA1282"/>
    <w:rsid w:val="00EA153F"/>
    <w:rsid w:val="00EA1852"/>
    <w:rsid w:val="00EA21D5"/>
    <w:rsid w:val="00EA2262"/>
    <w:rsid w:val="00EA25A2"/>
    <w:rsid w:val="00EA2788"/>
    <w:rsid w:val="00EA2C6E"/>
    <w:rsid w:val="00EA2CEA"/>
    <w:rsid w:val="00EA33B1"/>
    <w:rsid w:val="00EA3447"/>
    <w:rsid w:val="00EA37DB"/>
    <w:rsid w:val="00EA4151"/>
    <w:rsid w:val="00EA436D"/>
    <w:rsid w:val="00EA460A"/>
    <w:rsid w:val="00EA4928"/>
    <w:rsid w:val="00EA4964"/>
    <w:rsid w:val="00EA4C80"/>
    <w:rsid w:val="00EA4F1A"/>
    <w:rsid w:val="00EA5561"/>
    <w:rsid w:val="00EA5F92"/>
    <w:rsid w:val="00EA70C6"/>
    <w:rsid w:val="00EA7131"/>
    <w:rsid w:val="00EA72E0"/>
    <w:rsid w:val="00EA7399"/>
    <w:rsid w:val="00EA73C4"/>
    <w:rsid w:val="00EB02C0"/>
    <w:rsid w:val="00EB02DE"/>
    <w:rsid w:val="00EB03C1"/>
    <w:rsid w:val="00EB0522"/>
    <w:rsid w:val="00EB0A07"/>
    <w:rsid w:val="00EB0E4D"/>
    <w:rsid w:val="00EB1246"/>
    <w:rsid w:val="00EB151F"/>
    <w:rsid w:val="00EB198E"/>
    <w:rsid w:val="00EB1B69"/>
    <w:rsid w:val="00EB1C78"/>
    <w:rsid w:val="00EB1DD4"/>
    <w:rsid w:val="00EB1DF3"/>
    <w:rsid w:val="00EB2083"/>
    <w:rsid w:val="00EB2331"/>
    <w:rsid w:val="00EB39B8"/>
    <w:rsid w:val="00EB3B46"/>
    <w:rsid w:val="00EB4D84"/>
    <w:rsid w:val="00EB4EE6"/>
    <w:rsid w:val="00EB4F08"/>
    <w:rsid w:val="00EB54FE"/>
    <w:rsid w:val="00EB5527"/>
    <w:rsid w:val="00EB5597"/>
    <w:rsid w:val="00EB5C53"/>
    <w:rsid w:val="00EB64A3"/>
    <w:rsid w:val="00EB6649"/>
    <w:rsid w:val="00EB6C81"/>
    <w:rsid w:val="00EB730B"/>
    <w:rsid w:val="00EC0910"/>
    <w:rsid w:val="00EC0CA0"/>
    <w:rsid w:val="00EC0E68"/>
    <w:rsid w:val="00EC11E4"/>
    <w:rsid w:val="00EC1BA9"/>
    <w:rsid w:val="00EC1D8A"/>
    <w:rsid w:val="00EC1DB2"/>
    <w:rsid w:val="00EC2E07"/>
    <w:rsid w:val="00EC2EA2"/>
    <w:rsid w:val="00EC323F"/>
    <w:rsid w:val="00EC3639"/>
    <w:rsid w:val="00EC3EAD"/>
    <w:rsid w:val="00EC40E0"/>
    <w:rsid w:val="00EC43C7"/>
    <w:rsid w:val="00EC465D"/>
    <w:rsid w:val="00EC4A84"/>
    <w:rsid w:val="00EC4FF2"/>
    <w:rsid w:val="00EC51BC"/>
    <w:rsid w:val="00EC5484"/>
    <w:rsid w:val="00EC5A76"/>
    <w:rsid w:val="00EC5C89"/>
    <w:rsid w:val="00EC6663"/>
    <w:rsid w:val="00EC6674"/>
    <w:rsid w:val="00EC66D2"/>
    <w:rsid w:val="00EC67E7"/>
    <w:rsid w:val="00EC6859"/>
    <w:rsid w:val="00EC6D65"/>
    <w:rsid w:val="00EC6FDD"/>
    <w:rsid w:val="00EC7563"/>
    <w:rsid w:val="00EC7E1F"/>
    <w:rsid w:val="00ED0854"/>
    <w:rsid w:val="00ED0A1B"/>
    <w:rsid w:val="00ED0CCB"/>
    <w:rsid w:val="00ED12EB"/>
    <w:rsid w:val="00ED21BC"/>
    <w:rsid w:val="00ED21C2"/>
    <w:rsid w:val="00ED2FEC"/>
    <w:rsid w:val="00ED34E3"/>
    <w:rsid w:val="00ED36DB"/>
    <w:rsid w:val="00ED3BEC"/>
    <w:rsid w:val="00ED3F67"/>
    <w:rsid w:val="00ED440A"/>
    <w:rsid w:val="00ED47E6"/>
    <w:rsid w:val="00ED50FA"/>
    <w:rsid w:val="00ED5329"/>
    <w:rsid w:val="00ED5AD4"/>
    <w:rsid w:val="00ED5C1F"/>
    <w:rsid w:val="00ED5D40"/>
    <w:rsid w:val="00ED5DA4"/>
    <w:rsid w:val="00ED6545"/>
    <w:rsid w:val="00ED72AF"/>
    <w:rsid w:val="00ED72CC"/>
    <w:rsid w:val="00ED7783"/>
    <w:rsid w:val="00ED789F"/>
    <w:rsid w:val="00ED7971"/>
    <w:rsid w:val="00ED7A6D"/>
    <w:rsid w:val="00ED7BA7"/>
    <w:rsid w:val="00ED7E9D"/>
    <w:rsid w:val="00ED7FAC"/>
    <w:rsid w:val="00EE02A3"/>
    <w:rsid w:val="00EE0441"/>
    <w:rsid w:val="00EE0521"/>
    <w:rsid w:val="00EE0748"/>
    <w:rsid w:val="00EE1210"/>
    <w:rsid w:val="00EE29A0"/>
    <w:rsid w:val="00EE2CEA"/>
    <w:rsid w:val="00EE2ECD"/>
    <w:rsid w:val="00EE30B4"/>
    <w:rsid w:val="00EE3365"/>
    <w:rsid w:val="00EE33B8"/>
    <w:rsid w:val="00EE389F"/>
    <w:rsid w:val="00EE3BA7"/>
    <w:rsid w:val="00EE3C69"/>
    <w:rsid w:val="00EE3E7A"/>
    <w:rsid w:val="00EE41C0"/>
    <w:rsid w:val="00EE4309"/>
    <w:rsid w:val="00EE435E"/>
    <w:rsid w:val="00EE448E"/>
    <w:rsid w:val="00EE48DF"/>
    <w:rsid w:val="00EE4AB3"/>
    <w:rsid w:val="00EE5686"/>
    <w:rsid w:val="00EE5D2B"/>
    <w:rsid w:val="00EE640A"/>
    <w:rsid w:val="00EE66F6"/>
    <w:rsid w:val="00EE6ABC"/>
    <w:rsid w:val="00EE6AF9"/>
    <w:rsid w:val="00EE6E5A"/>
    <w:rsid w:val="00EE7405"/>
    <w:rsid w:val="00EE7788"/>
    <w:rsid w:val="00EE784A"/>
    <w:rsid w:val="00EE7A62"/>
    <w:rsid w:val="00EE7E91"/>
    <w:rsid w:val="00EF01AE"/>
    <w:rsid w:val="00EF033E"/>
    <w:rsid w:val="00EF06EC"/>
    <w:rsid w:val="00EF077E"/>
    <w:rsid w:val="00EF121A"/>
    <w:rsid w:val="00EF1369"/>
    <w:rsid w:val="00EF14FF"/>
    <w:rsid w:val="00EF1A7D"/>
    <w:rsid w:val="00EF1C28"/>
    <w:rsid w:val="00EF2431"/>
    <w:rsid w:val="00EF29BE"/>
    <w:rsid w:val="00EF2AFB"/>
    <w:rsid w:val="00EF2BFE"/>
    <w:rsid w:val="00EF2D85"/>
    <w:rsid w:val="00EF331E"/>
    <w:rsid w:val="00EF3419"/>
    <w:rsid w:val="00EF36FF"/>
    <w:rsid w:val="00EF3B7A"/>
    <w:rsid w:val="00EF402C"/>
    <w:rsid w:val="00EF45D7"/>
    <w:rsid w:val="00EF45E0"/>
    <w:rsid w:val="00EF48CA"/>
    <w:rsid w:val="00EF4D19"/>
    <w:rsid w:val="00EF4D6C"/>
    <w:rsid w:val="00EF4E6F"/>
    <w:rsid w:val="00EF4F3F"/>
    <w:rsid w:val="00EF5016"/>
    <w:rsid w:val="00EF50EA"/>
    <w:rsid w:val="00EF51D5"/>
    <w:rsid w:val="00EF5C82"/>
    <w:rsid w:val="00EF674C"/>
    <w:rsid w:val="00EF6AC4"/>
    <w:rsid w:val="00EF6CBE"/>
    <w:rsid w:val="00EF6FDB"/>
    <w:rsid w:val="00EF70E6"/>
    <w:rsid w:val="00EF72CC"/>
    <w:rsid w:val="00EF7A15"/>
    <w:rsid w:val="00EF7B9B"/>
    <w:rsid w:val="00EF7C5C"/>
    <w:rsid w:val="00F00391"/>
    <w:rsid w:val="00F0142A"/>
    <w:rsid w:val="00F01E9A"/>
    <w:rsid w:val="00F01F8C"/>
    <w:rsid w:val="00F023A8"/>
    <w:rsid w:val="00F02C53"/>
    <w:rsid w:val="00F035A6"/>
    <w:rsid w:val="00F0378C"/>
    <w:rsid w:val="00F04387"/>
    <w:rsid w:val="00F0475C"/>
    <w:rsid w:val="00F04AD0"/>
    <w:rsid w:val="00F05074"/>
    <w:rsid w:val="00F053BC"/>
    <w:rsid w:val="00F05463"/>
    <w:rsid w:val="00F058A0"/>
    <w:rsid w:val="00F05D09"/>
    <w:rsid w:val="00F06110"/>
    <w:rsid w:val="00F068DD"/>
    <w:rsid w:val="00F06E25"/>
    <w:rsid w:val="00F072C4"/>
    <w:rsid w:val="00F077BF"/>
    <w:rsid w:val="00F07885"/>
    <w:rsid w:val="00F07AC1"/>
    <w:rsid w:val="00F07BE5"/>
    <w:rsid w:val="00F07DB8"/>
    <w:rsid w:val="00F07E80"/>
    <w:rsid w:val="00F07EA0"/>
    <w:rsid w:val="00F07EA2"/>
    <w:rsid w:val="00F10033"/>
    <w:rsid w:val="00F1005D"/>
    <w:rsid w:val="00F10084"/>
    <w:rsid w:val="00F101A5"/>
    <w:rsid w:val="00F103E8"/>
    <w:rsid w:val="00F10848"/>
    <w:rsid w:val="00F10B68"/>
    <w:rsid w:val="00F10C00"/>
    <w:rsid w:val="00F10CF7"/>
    <w:rsid w:val="00F1169F"/>
    <w:rsid w:val="00F1170B"/>
    <w:rsid w:val="00F11B8E"/>
    <w:rsid w:val="00F11E26"/>
    <w:rsid w:val="00F11F55"/>
    <w:rsid w:val="00F11F56"/>
    <w:rsid w:val="00F1207E"/>
    <w:rsid w:val="00F1225A"/>
    <w:rsid w:val="00F12274"/>
    <w:rsid w:val="00F1258B"/>
    <w:rsid w:val="00F12D39"/>
    <w:rsid w:val="00F12DEC"/>
    <w:rsid w:val="00F13027"/>
    <w:rsid w:val="00F13151"/>
    <w:rsid w:val="00F13474"/>
    <w:rsid w:val="00F136C3"/>
    <w:rsid w:val="00F13C5A"/>
    <w:rsid w:val="00F14C65"/>
    <w:rsid w:val="00F150CF"/>
    <w:rsid w:val="00F15523"/>
    <w:rsid w:val="00F16391"/>
    <w:rsid w:val="00F17710"/>
    <w:rsid w:val="00F2001F"/>
    <w:rsid w:val="00F20195"/>
    <w:rsid w:val="00F201DD"/>
    <w:rsid w:val="00F2030B"/>
    <w:rsid w:val="00F2062B"/>
    <w:rsid w:val="00F206A5"/>
    <w:rsid w:val="00F208FF"/>
    <w:rsid w:val="00F20944"/>
    <w:rsid w:val="00F2095E"/>
    <w:rsid w:val="00F20B78"/>
    <w:rsid w:val="00F2151C"/>
    <w:rsid w:val="00F21A18"/>
    <w:rsid w:val="00F21A9A"/>
    <w:rsid w:val="00F21CF6"/>
    <w:rsid w:val="00F21E61"/>
    <w:rsid w:val="00F21EFB"/>
    <w:rsid w:val="00F220EA"/>
    <w:rsid w:val="00F222CD"/>
    <w:rsid w:val="00F22FCD"/>
    <w:rsid w:val="00F23173"/>
    <w:rsid w:val="00F23287"/>
    <w:rsid w:val="00F23412"/>
    <w:rsid w:val="00F24EA4"/>
    <w:rsid w:val="00F250C4"/>
    <w:rsid w:val="00F251EA"/>
    <w:rsid w:val="00F25370"/>
    <w:rsid w:val="00F253BE"/>
    <w:rsid w:val="00F25464"/>
    <w:rsid w:val="00F257AB"/>
    <w:rsid w:val="00F26067"/>
    <w:rsid w:val="00F261F9"/>
    <w:rsid w:val="00F2620F"/>
    <w:rsid w:val="00F2625A"/>
    <w:rsid w:val="00F26927"/>
    <w:rsid w:val="00F27946"/>
    <w:rsid w:val="00F302F1"/>
    <w:rsid w:val="00F30378"/>
    <w:rsid w:val="00F30A99"/>
    <w:rsid w:val="00F30CAA"/>
    <w:rsid w:val="00F311F3"/>
    <w:rsid w:val="00F31935"/>
    <w:rsid w:val="00F31A03"/>
    <w:rsid w:val="00F31E2F"/>
    <w:rsid w:val="00F31E78"/>
    <w:rsid w:val="00F320AA"/>
    <w:rsid w:val="00F321F0"/>
    <w:rsid w:val="00F321FE"/>
    <w:rsid w:val="00F3234D"/>
    <w:rsid w:val="00F3283C"/>
    <w:rsid w:val="00F32D0F"/>
    <w:rsid w:val="00F32E21"/>
    <w:rsid w:val="00F335D6"/>
    <w:rsid w:val="00F33BA8"/>
    <w:rsid w:val="00F343F0"/>
    <w:rsid w:val="00F34620"/>
    <w:rsid w:val="00F346FD"/>
    <w:rsid w:val="00F34AAB"/>
    <w:rsid w:val="00F34C4D"/>
    <w:rsid w:val="00F34E3B"/>
    <w:rsid w:val="00F34EDD"/>
    <w:rsid w:val="00F350CF"/>
    <w:rsid w:val="00F35582"/>
    <w:rsid w:val="00F3578C"/>
    <w:rsid w:val="00F35914"/>
    <w:rsid w:val="00F35A0D"/>
    <w:rsid w:val="00F35E3F"/>
    <w:rsid w:val="00F363C5"/>
    <w:rsid w:val="00F36D99"/>
    <w:rsid w:val="00F37004"/>
    <w:rsid w:val="00F372C9"/>
    <w:rsid w:val="00F376A1"/>
    <w:rsid w:val="00F37821"/>
    <w:rsid w:val="00F37B8E"/>
    <w:rsid w:val="00F407E1"/>
    <w:rsid w:val="00F40851"/>
    <w:rsid w:val="00F40FDC"/>
    <w:rsid w:val="00F4106E"/>
    <w:rsid w:val="00F41148"/>
    <w:rsid w:val="00F413EB"/>
    <w:rsid w:val="00F41746"/>
    <w:rsid w:val="00F41909"/>
    <w:rsid w:val="00F41DB1"/>
    <w:rsid w:val="00F41E79"/>
    <w:rsid w:val="00F4212C"/>
    <w:rsid w:val="00F42659"/>
    <w:rsid w:val="00F4315F"/>
    <w:rsid w:val="00F4349C"/>
    <w:rsid w:val="00F435C8"/>
    <w:rsid w:val="00F435D0"/>
    <w:rsid w:val="00F43A44"/>
    <w:rsid w:val="00F44193"/>
    <w:rsid w:val="00F4427C"/>
    <w:rsid w:val="00F445F6"/>
    <w:rsid w:val="00F44ACF"/>
    <w:rsid w:val="00F44AF7"/>
    <w:rsid w:val="00F44D6A"/>
    <w:rsid w:val="00F44E5B"/>
    <w:rsid w:val="00F4512F"/>
    <w:rsid w:val="00F45153"/>
    <w:rsid w:val="00F45277"/>
    <w:rsid w:val="00F455C8"/>
    <w:rsid w:val="00F45763"/>
    <w:rsid w:val="00F45BCF"/>
    <w:rsid w:val="00F45BEA"/>
    <w:rsid w:val="00F45C79"/>
    <w:rsid w:val="00F45CFE"/>
    <w:rsid w:val="00F45E96"/>
    <w:rsid w:val="00F45F65"/>
    <w:rsid w:val="00F460E9"/>
    <w:rsid w:val="00F46362"/>
    <w:rsid w:val="00F463A1"/>
    <w:rsid w:val="00F46877"/>
    <w:rsid w:val="00F469E6"/>
    <w:rsid w:val="00F46C39"/>
    <w:rsid w:val="00F476DD"/>
    <w:rsid w:val="00F47F3E"/>
    <w:rsid w:val="00F50677"/>
    <w:rsid w:val="00F50D84"/>
    <w:rsid w:val="00F51567"/>
    <w:rsid w:val="00F51A13"/>
    <w:rsid w:val="00F51D03"/>
    <w:rsid w:val="00F51DB1"/>
    <w:rsid w:val="00F51EAE"/>
    <w:rsid w:val="00F51F2B"/>
    <w:rsid w:val="00F5258D"/>
    <w:rsid w:val="00F527EB"/>
    <w:rsid w:val="00F52AB3"/>
    <w:rsid w:val="00F530E6"/>
    <w:rsid w:val="00F532C7"/>
    <w:rsid w:val="00F5355A"/>
    <w:rsid w:val="00F537D4"/>
    <w:rsid w:val="00F53D00"/>
    <w:rsid w:val="00F540F3"/>
    <w:rsid w:val="00F54898"/>
    <w:rsid w:val="00F54DCC"/>
    <w:rsid w:val="00F54EE5"/>
    <w:rsid w:val="00F54F0D"/>
    <w:rsid w:val="00F55358"/>
    <w:rsid w:val="00F55A2D"/>
    <w:rsid w:val="00F5603C"/>
    <w:rsid w:val="00F5605C"/>
    <w:rsid w:val="00F56182"/>
    <w:rsid w:val="00F56209"/>
    <w:rsid w:val="00F564B9"/>
    <w:rsid w:val="00F565BA"/>
    <w:rsid w:val="00F569A5"/>
    <w:rsid w:val="00F57258"/>
    <w:rsid w:val="00F57909"/>
    <w:rsid w:val="00F57AE7"/>
    <w:rsid w:val="00F57DC0"/>
    <w:rsid w:val="00F57F3C"/>
    <w:rsid w:val="00F60005"/>
    <w:rsid w:val="00F60128"/>
    <w:rsid w:val="00F6044D"/>
    <w:rsid w:val="00F6065F"/>
    <w:rsid w:val="00F60A4B"/>
    <w:rsid w:val="00F60BEA"/>
    <w:rsid w:val="00F60EB7"/>
    <w:rsid w:val="00F60F5F"/>
    <w:rsid w:val="00F612D6"/>
    <w:rsid w:val="00F61ACD"/>
    <w:rsid w:val="00F62A6B"/>
    <w:rsid w:val="00F62FB2"/>
    <w:rsid w:val="00F63400"/>
    <w:rsid w:val="00F636C6"/>
    <w:rsid w:val="00F639C9"/>
    <w:rsid w:val="00F63F5D"/>
    <w:rsid w:val="00F63FB5"/>
    <w:rsid w:val="00F6433D"/>
    <w:rsid w:val="00F645B6"/>
    <w:rsid w:val="00F64EEF"/>
    <w:rsid w:val="00F65088"/>
    <w:rsid w:val="00F651C7"/>
    <w:rsid w:val="00F65283"/>
    <w:rsid w:val="00F654C1"/>
    <w:rsid w:val="00F65672"/>
    <w:rsid w:val="00F6573E"/>
    <w:rsid w:val="00F657EA"/>
    <w:rsid w:val="00F662EB"/>
    <w:rsid w:val="00F66B1D"/>
    <w:rsid w:val="00F66EB2"/>
    <w:rsid w:val="00F6703A"/>
    <w:rsid w:val="00F67213"/>
    <w:rsid w:val="00F675F9"/>
    <w:rsid w:val="00F67606"/>
    <w:rsid w:val="00F67656"/>
    <w:rsid w:val="00F679A0"/>
    <w:rsid w:val="00F70320"/>
    <w:rsid w:val="00F70327"/>
    <w:rsid w:val="00F70347"/>
    <w:rsid w:val="00F70685"/>
    <w:rsid w:val="00F70AC2"/>
    <w:rsid w:val="00F70FEF"/>
    <w:rsid w:val="00F711F3"/>
    <w:rsid w:val="00F7125D"/>
    <w:rsid w:val="00F71428"/>
    <w:rsid w:val="00F71B16"/>
    <w:rsid w:val="00F71EDF"/>
    <w:rsid w:val="00F72FA8"/>
    <w:rsid w:val="00F73AB7"/>
    <w:rsid w:val="00F73CAA"/>
    <w:rsid w:val="00F7410B"/>
    <w:rsid w:val="00F749A7"/>
    <w:rsid w:val="00F75415"/>
    <w:rsid w:val="00F7586D"/>
    <w:rsid w:val="00F75880"/>
    <w:rsid w:val="00F75E7D"/>
    <w:rsid w:val="00F76A4A"/>
    <w:rsid w:val="00F773F9"/>
    <w:rsid w:val="00F80CA9"/>
    <w:rsid w:val="00F80EBA"/>
    <w:rsid w:val="00F80F4C"/>
    <w:rsid w:val="00F8101C"/>
    <w:rsid w:val="00F81528"/>
    <w:rsid w:val="00F817B9"/>
    <w:rsid w:val="00F81BFB"/>
    <w:rsid w:val="00F81CB7"/>
    <w:rsid w:val="00F81DE7"/>
    <w:rsid w:val="00F82280"/>
    <w:rsid w:val="00F8235F"/>
    <w:rsid w:val="00F82C06"/>
    <w:rsid w:val="00F82C0A"/>
    <w:rsid w:val="00F82F50"/>
    <w:rsid w:val="00F83036"/>
    <w:rsid w:val="00F838D0"/>
    <w:rsid w:val="00F83A22"/>
    <w:rsid w:val="00F83A97"/>
    <w:rsid w:val="00F83B29"/>
    <w:rsid w:val="00F83DE9"/>
    <w:rsid w:val="00F844F0"/>
    <w:rsid w:val="00F84870"/>
    <w:rsid w:val="00F84895"/>
    <w:rsid w:val="00F84A42"/>
    <w:rsid w:val="00F84B78"/>
    <w:rsid w:val="00F84E9D"/>
    <w:rsid w:val="00F8659E"/>
    <w:rsid w:val="00F865BA"/>
    <w:rsid w:val="00F86B00"/>
    <w:rsid w:val="00F86CE4"/>
    <w:rsid w:val="00F86F42"/>
    <w:rsid w:val="00F86FA5"/>
    <w:rsid w:val="00F876E4"/>
    <w:rsid w:val="00F87BAC"/>
    <w:rsid w:val="00F87D49"/>
    <w:rsid w:val="00F906BD"/>
    <w:rsid w:val="00F90ACC"/>
    <w:rsid w:val="00F90D96"/>
    <w:rsid w:val="00F91535"/>
    <w:rsid w:val="00F91941"/>
    <w:rsid w:val="00F91DD9"/>
    <w:rsid w:val="00F92219"/>
    <w:rsid w:val="00F92E3F"/>
    <w:rsid w:val="00F93666"/>
    <w:rsid w:val="00F936A6"/>
    <w:rsid w:val="00F938D2"/>
    <w:rsid w:val="00F941A1"/>
    <w:rsid w:val="00F94285"/>
    <w:rsid w:val="00F94562"/>
    <w:rsid w:val="00F95ADC"/>
    <w:rsid w:val="00F9620B"/>
    <w:rsid w:val="00F962CD"/>
    <w:rsid w:val="00F96389"/>
    <w:rsid w:val="00F9650E"/>
    <w:rsid w:val="00F96540"/>
    <w:rsid w:val="00F96B73"/>
    <w:rsid w:val="00F96E36"/>
    <w:rsid w:val="00F96FD2"/>
    <w:rsid w:val="00F97084"/>
    <w:rsid w:val="00F977C7"/>
    <w:rsid w:val="00F97F5A"/>
    <w:rsid w:val="00FA031F"/>
    <w:rsid w:val="00FA0890"/>
    <w:rsid w:val="00FA0A6C"/>
    <w:rsid w:val="00FA1094"/>
    <w:rsid w:val="00FA164A"/>
    <w:rsid w:val="00FA18D3"/>
    <w:rsid w:val="00FA1BFF"/>
    <w:rsid w:val="00FA1DEF"/>
    <w:rsid w:val="00FA1E2F"/>
    <w:rsid w:val="00FA1F1A"/>
    <w:rsid w:val="00FA28CD"/>
    <w:rsid w:val="00FA3375"/>
    <w:rsid w:val="00FA3618"/>
    <w:rsid w:val="00FA3AB3"/>
    <w:rsid w:val="00FA3B8C"/>
    <w:rsid w:val="00FA3BFA"/>
    <w:rsid w:val="00FA3F3E"/>
    <w:rsid w:val="00FA3F9E"/>
    <w:rsid w:val="00FA4272"/>
    <w:rsid w:val="00FA4855"/>
    <w:rsid w:val="00FA4ACD"/>
    <w:rsid w:val="00FA54B1"/>
    <w:rsid w:val="00FA559B"/>
    <w:rsid w:val="00FA5B0A"/>
    <w:rsid w:val="00FA5B39"/>
    <w:rsid w:val="00FA5DB5"/>
    <w:rsid w:val="00FA5E93"/>
    <w:rsid w:val="00FA6148"/>
    <w:rsid w:val="00FA6428"/>
    <w:rsid w:val="00FA6BBF"/>
    <w:rsid w:val="00FA6D32"/>
    <w:rsid w:val="00FA7144"/>
    <w:rsid w:val="00FA7184"/>
    <w:rsid w:val="00FA7949"/>
    <w:rsid w:val="00FB02E8"/>
    <w:rsid w:val="00FB0532"/>
    <w:rsid w:val="00FB066E"/>
    <w:rsid w:val="00FB0CA1"/>
    <w:rsid w:val="00FB0DF0"/>
    <w:rsid w:val="00FB1626"/>
    <w:rsid w:val="00FB177B"/>
    <w:rsid w:val="00FB1D9D"/>
    <w:rsid w:val="00FB1DB2"/>
    <w:rsid w:val="00FB1E37"/>
    <w:rsid w:val="00FB2B2A"/>
    <w:rsid w:val="00FB3304"/>
    <w:rsid w:val="00FB3B11"/>
    <w:rsid w:val="00FB3B8F"/>
    <w:rsid w:val="00FB3EA5"/>
    <w:rsid w:val="00FB46B8"/>
    <w:rsid w:val="00FB46FF"/>
    <w:rsid w:val="00FB4964"/>
    <w:rsid w:val="00FB4B38"/>
    <w:rsid w:val="00FB51B5"/>
    <w:rsid w:val="00FB54BB"/>
    <w:rsid w:val="00FB5AC0"/>
    <w:rsid w:val="00FB6014"/>
    <w:rsid w:val="00FB667E"/>
    <w:rsid w:val="00FB6948"/>
    <w:rsid w:val="00FB6C91"/>
    <w:rsid w:val="00FB6CD9"/>
    <w:rsid w:val="00FB74E8"/>
    <w:rsid w:val="00FB79EC"/>
    <w:rsid w:val="00FC0263"/>
    <w:rsid w:val="00FC0288"/>
    <w:rsid w:val="00FC0348"/>
    <w:rsid w:val="00FC05B6"/>
    <w:rsid w:val="00FC05CC"/>
    <w:rsid w:val="00FC0B30"/>
    <w:rsid w:val="00FC0FB5"/>
    <w:rsid w:val="00FC102A"/>
    <w:rsid w:val="00FC14D4"/>
    <w:rsid w:val="00FC154C"/>
    <w:rsid w:val="00FC161D"/>
    <w:rsid w:val="00FC1DBC"/>
    <w:rsid w:val="00FC1EE6"/>
    <w:rsid w:val="00FC2637"/>
    <w:rsid w:val="00FC2CDE"/>
    <w:rsid w:val="00FC2DAB"/>
    <w:rsid w:val="00FC32D9"/>
    <w:rsid w:val="00FC34B9"/>
    <w:rsid w:val="00FC381D"/>
    <w:rsid w:val="00FC3881"/>
    <w:rsid w:val="00FC393B"/>
    <w:rsid w:val="00FC3F5E"/>
    <w:rsid w:val="00FC4052"/>
    <w:rsid w:val="00FC450A"/>
    <w:rsid w:val="00FC452A"/>
    <w:rsid w:val="00FC47A9"/>
    <w:rsid w:val="00FC4CB1"/>
    <w:rsid w:val="00FC5089"/>
    <w:rsid w:val="00FC511A"/>
    <w:rsid w:val="00FC5141"/>
    <w:rsid w:val="00FC5252"/>
    <w:rsid w:val="00FC5B0F"/>
    <w:rsid w:val="00FC5DF7"/>
    <w:rsid w:val="00FC60F6"/>
    <w:rsid w:val="00FC6356"/>
    <w:rsid w:val="00FC6B17"/>
    <w:rsid w:val="00FC7216"/>
    <w:rsid w:val="00FC7D01"/>
    <w:rsid w:val="00FC7D4B"/>
    <w:rsid w:val="00FD0130"/>
    <w:rsid w:val="00FD0373"/>
    <w:rsid w:val="00FD0582"/>
    <w:rsid w:val="00FD06AB"/>
    <w:rsid w:val="00FD0C93"/>
    <w:rsid w:val="00FD1062"/>
    <w:rsid w:val="00FD1291"/>
    <w:rsid w:val="00FD13EA"/>
    <w:rsid w:val="00FD176E"/>
    <w:rsid w:val="00FD1CAE"/>
    <w:rsid w:val="00FD203C"/>
    <w:rsid w:val="00FD2589"/>
    <w:rsid w:val="00FD2593"/>
    <w:rsid w:val="00FD2C4F"/>
    <w:rsid w:val="00FD2E86"/>
    <w:rsid w:val="00FD37E0"/>
    <w:rsid w:val="00FD3ACC"/>
    <w:rsid w:val="00FD3BFE"/>
    <w:rsid w:val="00FD3CE5"/>
    <w:rsid w:val="00FD4876"/>
    <w:rsid w:val="00FD52A3"/>
    <w:rsid w:val="00FD57F5"/>
    <w:rsid w:val="00FD600E"/>
    <w:rsid w:val="00FD68D4"/>
    <w:rsid w:val="00FD6BE9"/>
    <w:rsid w:val="00FD7255"/>
    <w:rsid w:val="00FD75A9"/>
    <w:rsid w:val="00FD785F"/>
    <w:rsid w:val="00FD7A91"/>
    <w:rsid w:val="00FE000E"/>
    <w:rsid w:val="00FE00D9"/>
    <w:rsid w:val="00FE1186"/>
    <w:rsid w:val="00FE139D"/>
    <w:rsid w:val="00FE177A"/>
    <w:rsid w:val="00FE18F0"/>
    <w:rsid w:val="00FE199E"/>
    <w:rsid w:val="00FE19D7"/>
    <w:rsid w:val="00FE1C3B"/>
    <w:rsid w:val="00FE1D4E"/>
    <w:rsid w:val="00FE240A"/>
    <w:rsid w:val="00FE2796"/>
    <w:rsid w:val="00FE3617"/>
    <w:rsid w:val="00FE3A38"/>
    <w:rsid w:val="00FE3E3C"/>
    <w:rsid w:val="00FE43E7"/>
    <w:rsid w:val="00FE45BF"/>
    <w:rsid w:val="00FE4773"/>
    <w:rsid w:val="00FE4841"/>
    <w:rsid w:val="00FE49ED"/>
    <w:rsid w:val="00FE4B66"/>
    <w:rsid w:val="00FE4D8E"/>
    <w:rsid w:val="00FE4F6E"/>
    <w:rsid w:val="00FE50C3"/>
    <w:rsid w:val="00FE583F"/>
    <w:rsid w:val="00FE5C57"/>
    <w:rsid w:val="00FE5CC4"/>
    <w:rsid w:val="00FE6066"/>
    <w:rsid w:val="00FE6410"/>
    <w:rsid w:val="00FE69C7"/>
    <w:rsid w:val="00FE6A3F"/>
    <w:rsid w:val="00FE6B13"/>
    <w:rsid w:val="00FE6CB3"/>
    <w:rsid w:val="00FE6DEE"/>
    <w:rsid w:val="00FE7575"/>
    <w:rsid w:val="00FE7946"/>
    <w:rsid w:val="00FF0374"/>
    <w:rsid w:val="00FF0386"/>
    <w:rsid w:val="00FF05E9"/>
    <w:rsid w:val="00FF0C71"/>
    <w:rsid w:val="00FF0EF3"/>
    <w:rsid w:val="00FF1070"/>
    <w:rsid w:val="00FF1363"/>
    <w:rsid w:val="00FF13E2"/>
    <w:rsid w:val="00FF1818"/>
    <w:rsid w:val="00FF18F8"/>
    <w:rsid w:val="00FF2237"/>
    <w:rsid w:val="00FF246D"/>
    <w:rsid w:val="00FF26D7"/>
    <w:rsid w:val="00FF2CEA"/>
    <w:rsid w:val="00FF34F2"/>
    <w:rsid w:val="00FF3506"/>
    <w:rsid w:val="00FF37E3"/>
    <w:rsid w:val="00FF3B38"/>
    <w:rsid w:val="00FF3CA0"/>
    <w:rsid w:val="00FF3EE1"/>
    <w:rsid w:val="00FF4953"/>
    <w:rsid w:val="00FF50F7"/>
    <w:rsid w:val="00FF5610"/>
    <w:rsid w:val="00FF571F"/>
    <w:rsid w:val="00FF5A31"/>
    <w:rsid w:val="00FF5FA3"/>
    <w:rsid w:val="00FF5FCE"/>
    <w:rsid w:val="00FF6177"/>
    <w:rsid w:val="00FF6885"/>
    <w:rsid w:val="00FF6946"/>
    <w:rsid w:val="00FF69CE"/>
    <w:rsid w:val="00FF6AD9"/>
    <w:rsid w:val="00FF6C32"/>
    <w:rsid w:val="00FF73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E5C2CA"/>
  <w15:docId w15:val="{A3F4A094-A8A1-46EA-8583-3A26D17D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5E2"/>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locked/>
    <w:rsid w:val="009A1431"/>
    <w:rPr>
      <w:rFonts w:cs="Times New Roman"/>
      <w:sz w:val="24"/>
      <w:szCs w:val="24"/>
      <w:lang w:val="lv-LV" w:eastAsia="lv-LV"/>
    </w:rPr>
  </w:style>
  <w:style w:type="paragraph" w:styleId="ListParagraph">
    <w:name w:val="List Paragraph"/>
    <w:aliases w:val="2,2 heading,Akapit z listą BS,List Paragraph1,Punkti ar numuriem,Strip,virsraksts3,H&amp;P List Paragraph,Numbered Para 1,Dot pt,No Spacing1,List Paragraph Char Char Char,Indicator Text,Bullet 1,Bullet Points,F5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paragraph" w:styleId="FootnoteText">
    <w:name w:val="footnote text"/>
    <w:aliases w:val="Footnote Text Char1 Char,Footnote Text Char Char Char,Footnote Text Char1 Char Char1 Char,Footnote Text Char Char Char Char Char,Footnote Text Char Char Char Char Char Char Char Char,Footnote Text Char Char,Footnote Text Char1 Char Char"/>
    <w:basedOn w:val="Normal"/>
    <w:link w:val="FootnoteTextChar"/>
    <w:uiPriority w:val="99"/>
    <w:unhideWhenUsed/>
    <w:rsid w:val="00D33CD0"/>
    <w:rPr>
      <w:sz w:val="20"/>
      <w:szCs w:val="20"/>
    </w:rPr>
  </w:style>
  <w:style w:type="character" w:customStyle="1" w:styleId="FootnoteTextChar">
    <w:name w:val="Footnote Text Char"/>
    <w:aliases w:val="Footnote Text Char1 Char Char1,Footnote Text Char Char Char Char,Footnote Text Char1 Char Char1 Char Char,Footnote Text Char Char Char Char Char Char,Footnote Text Char Char Char Char Char Char Char Char Char"/>
    <w:basedOn w:val="DefaultParagraphFont"/>
    <w:link w:val="FootnoteText"/>
    <w:uiPriority w:val="99"/>
    <w:semiHidden/>
    <w:rsid w:val="00D33CD0"/>
    <w:rPr>
      <w:lang w:val="lv-LV" w:eastAsia="lv-LV"/>
    </w:rPr>
  </w:style>
  <w:style w:type="character" w:styleId="FootnoteReference">
    <w:name w:val="footnote reference"/>
    <w:aliases w:val="Footnote Reference Number,Footnote symbol,BVI fnr,E,E FNZ,Footnote Reference Superscript,Footnote Refernece,Footnote symbFootnote Refernece,Footnotes refss,Fußnotenzeichen_Raxen,Odwołanie przypisu,R,Ref,SUPERS,callout,fr,ftref,stylish"/>
    <w:basedOn w:val="DefaultParagraphFont"/>
    <w:uiPriority w:val="99"/>
    <w:qFormat/>
    <w:rsid w:val="00D33CD0"/>
    <w:rPr>
      <w:vertAlign w:val="superscript"/>
    </w:rPr>
  </w:style>
  <w:style w:type="character" w:customStyle="1" w:styleId="spelle">
    <w:name w:val="spelle"/>
    <w:basedOn w:val="DefaultParagraphFont"/>
    <w:rsid w:val="003F512A"/>
  </w:style>
  <w:style w:type="paragraph" w:styleId="BodyText3">
    <w:name w:val="Body Text 3"/>
    <w:basedOn w:val="Normal"/>
    <w:link w:val="BodyText3Char"/>
    <w:uiPriority w:val="99"/>
    <w:unhideWhenUsed/>
    <w:rsid w:val="00ED5AD4"/>
    <w:pPr>
      <w:spacing w:after="120"/>
    </w:pPr>
    <w:rPr>
      <w:sz w:val="16"/>
      <w:szCs w:val="16"/>
    </w:rPr>
  </w:style>
  <w:style w:type="character" w:customStyle="1" w:styleId="BodyText3Char">
    <w:name w:val="Body Text 3 Char"/>
    <w:basedOn w:val="DefaultParagraphFont"/>
    <w:link w:val="BodyText3"/>
    <w:uiPriority w:val="99"/>
    <w:rsid w:val="00ED5AD4"/>
    <w:rPr>
      <w:sz w:val="16"/>
      <w:szCs w:val="16"/>
      <w:lang w:val="lv-LV" w:eastAsia="lv-LV"/>
    </w:rPr>
  </w:style>
  <w:style w:type="paragraph" w:customStyle="1" w:styleId="Parasts">
    <w:name w:val="Parasts"/>
    <w:qFormat/>
    <w:rsid w:val="00ED3BEC"/>
    <w:rPr>
      <w:sz w:val="24"/>
      <w:szCs w:val="24"/>
      <w:lang w:val="en-GB" w:eastAsia="en-US"/>
    </w:rPr>
  </w:style>
  <w:style w:type="character" w:customStyle="1" w:styleId="ListParagraphChar">
    <w:name w:val="List Paragraph Char"/>
    <w:aliases w:val="2 Char,2 heading Char,Akapit z listą BS Char,List Paragraph1 Char,Punkti ar numuriem Char,Strip Char,virsraksts3 Char,H&amp;P List Paragraph Char,Numbered Para 1 Char,Dot pt Char,No Spacing1 Char,List Paragraph Char Char Char Char"/>
    <w:link w:val="ListParagraph"/>
    <w:uiPriority w:val="34"/>
    <w:qFormat/>
    <w:locked/>
    <w:rsid w:val="00D203FD"/>
    <w:rPr>
      <w:rFonts w:ascii="Calibri" w:hAnsi="Calibri"/>
      <w:sz w:val="22"/>
      <w:szCs w:val="22"/>
      <w:lang w:eastAsia="en-US"/>
    </w:rPr>
  </w:style>
  <w:style w:type="paragraph" w:styleId="PlainText">
    <w:name w:val="Plain Text"/>
    <w:basedOn w:val="Normal"/>
    <w:link w:val="PlainTextChar"/>
    <w:uiPriority w:val="99"/>
    <w:unhideWhenUsed/>
    <w:rsid w:val="00EC6859"/>
    <w:rPr>
      <w:rFonts w:ascii="Calibri" w:eastAsia="Calibri" w:hAnsi="Calibri" w:cs="Calibri"/>
      <w:sz w:val="22"/>
      <w:szCs w:val="22"/>
    </w:rPr>
  </w:style>
  <w:style w:type="character" w:customStyle="1" w:styleId="PlainTextChar">
    <w:name w:val="Plain Text Char"/>
    <w:basedOn w:val="DefaultParagraphFont"/>
    <w:link w:val="PlainText"/>
    <w:uiPriority w:val="99"/>
    <w:rsid w:val="00EC6859"/>
    <w:rPr>
      <w:rFonts w:ascii="Calibri" w:eastAsia="Calibri" w:hAnsi="Calibri" w:cs="Calibri"/>
      <w:sz w:val="22"/>
      <w:szCs w:val="22"/>
    </w:rPr>
  </w:style>
  <w:style w:type="paragraph" w:styleId="NoSpacing">
    <w:name w:val="No Spacing"/>
    <w:uiPriority w:val="1"/>
    <w:qFormat/>
    <w:rsid w:val="00E17224"/>
    <w:rPr>
      <w:rFonts w:ascii="Calibri" w:eastAsia="Calibri" w:hAnsi="Calibri"/>
      <w:sz w:val="22"/>
      <w:szCs w:val="22"/>
      <w:lang w:eastAsia="en-US"/>
    </w:rPr>
  </w:style>
  <w:style w:type="character" w:customStyle="1" w:styleId="navigatable">
    <w:name w:val="navigatable"/>
    <w:basedOn w:val="DefaultParagraphFont"/>
    <w:rsid w:val="00BB4645"/>
  </w:style>
  <w:style w:type="paragraph" w:customStyle="1" w:styleId="tv2132">
    <w:name w:val="tv2132"/>
    <w:basedOn w:val="Normal"/>
    <w:rsid w:val="00B06CC0"/>
    <w:pPr>
      <w:spacing w:line="360" w:lineRule="auto"/>
      <w:ind w:firstLine="300"/>
    </w:pPr>
    <w:rPr>
      <w:color w:val="414142"/>
      <w:sz w:val="20"/>
      <w:szCs w:val="20"/>
    </w:rPr>
  </w:style>
  <w:style w:type="paragraph" w:customStyle="1" w:styleId="Default">
    <w:name w:val="Default"/>
    <w:rsid w:val="00D36ECE"/>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924">
      <w:bodyDiv w:val="1"/>
      <w:marLeft w:val="0"/>
      <w:marRight w:val="0"/>
      <w:marTop w:val="0"/>
      <w:marBottom w:val="0"/>
      <w:divBdr>
        <w:top w:val="none" w:sz="0" w:space="0" w:color="auto"/>
        <w:left w:val="none" w:sz="0" w:space="0" w:color="auto"/>
        <w:bottom w:val="none" w:sz="0" w:space="0" w:color="auto"/>
        <w:right w:val="none" w:sz="0" w:space="0" w:color="auto"/>
      </w:divBdr>
      <w:divsChild>
        <w:div w:id="916549620">
          <w:marLeft w:val="0"/>
          <w:marRight w:val="12"/>
          <w:marTop w:val="0"/>
          <w:marBottom w:val="0"/>
          <w:divBdr>
            <w:top w:val="none" w:sz="0" w:space="0" w:color="auto"/>
            <w:left w:val="none" w:sz="0" w:space="0" w:color="auto"/>
            <w:bottom w:val="none" w:sz="0" w:space="0" w:color="auto"/>
            <w:right w:val="none" w:sz="0" w:space="0" w:color="auto"/>
          </w:divBdr>
        </w:div>
        <w:div w:id="473256241">
          <w:marLeft w:val="0"/>
          <w:marRight w:val="12"/>
          <w:marTop w:val="0"/>
          <w:marBottom w:val="0"/>
          <w:divBdr>
            <w:top w:val="none" w:sz="0" w:space="0" w:color="auto"/>
            <w:left w:val="none" w:sz="0" w:space="0" w:color="auto"/>
            <w:bottom w:val="none" w:sz="0" w:space="0" w:color="auto"/>
            <w:right w:val="none" w:sz="0" w:space="0" w:color="auto"/>
          </w:divBdr>
        </w:div>
        <w:div w:id="1687167842">
          <w:marLeft w:val="0"/>
          <w:marRight w:val="12"/>
          <w:marTop w:val="0"/>
          <w:marBottom w:val="0"/>
          <w:divBdr>
            <w:top w:val="none" w:sz="0" w:space="0" w:color="auto"/>
            <w:left w:val="none" w:sz="0" w:space="0" w:color="auto"/>
            <w:bottom w:val="none" w:sz="0" w:space="0" w:color="auto"/>
            <w:right w:val="none" w:sz="0" w:space="0" w:color="auto"/>
          </w:divBdr>
        </w:div>
      </w:divsChild>
    </w:div>
    <w:div w:id="84889352">
      <w:bodyDiv w:val="1"/>
      <w:marLeft w:val="0"/>
      <w:marRight w:val="0"/>
      <w:marTop w:val="0"/>
      <w:marBottom w:val="0"/>
      <w:divBdr>
        <w:top w:val="none" w:sz="0" w:space="0" w:color="auto"/>
        <w:left w:val="none" w:sz="0" w:space="0" w:color="auto"/>
        <w:bottom w:val="none" w:sz="0" w:space="0" w:color="auto"/>
        <w:right w:val="none" w:sz="0" w:space="0" w:color="auto"/>
      </w:divBdr>
      <w:divsChild>
        <w:div w:id="360712119">
          <w:marLeft w:val="0"/>
          <w:marRight w:val="12"/>
          <w:marTop w:val="0"/>
          <w:marBottom w:val="0"/>
          <w:divBdr>
            <w:top w:val="none" w:sz="0" w:space="0" w:color="auto"/>
            <w:left w:val="none" w:sz="0" w:space="0" w:color="auto"/>
            <w:bottom w:val="none" w:sz="0" w:space="0" w:color="auto"/>
            <w:right w:val="none" w:sz="0" w:space="0" w:color="auto"/>
          </w:divBdr>
        </w:div>
        <w:div w:id="1874002004">
          <w:marLeft w:val="0"/>
          <w:marRight w:val="12"/>
          <w:marTop w:val="0"/>
          <w:marBottom w:val="0"/>
          <w:divBdr>
            <w:top w:val="none" w:sz="0" w:space="0" w:color="auto"/>
            <w:left w:val="none" w:sz="0" w:space="0" w:color="auto"/>
            <w:bottom w:val="none" w:sz="0" w:space="0" w:color="auto"/>
            <w:right w:val="none" w:sz="0" w:space="0" w:color="auto"/>
          </w:divBdr>
        </w:div>
        <w:div w:id="730157407">
          <w:marLeft w:val="0"/>
          <w:marRight w:val="12"/>
          <w:marTop w:val="0"/>
          <w:marBottom w:val="0"/>
          <w:divBdr>
            <w:top w:val="none" w:sz="0" w:space="0" w:color="auto"/>
            <w:left w:val="none" w:sz="0" w:space="0" w:color="auto"/>
            <w:bottom w:val="none" w:sz="0" w:space="0" w:color="auto"/>
            <w:right w:val="none" w:sz="0" w:space="0" w:color="auto"/>
          </w:divBdr>
        </w:div>
        <w:div w:id="1542016284">
          <w:marLeft w:val="0"/>
          <w:marRight w:val="12"/>
          <w:marTop w:val="0"/>
          <w:marBottom w:val="0"/>
          <w:divBdr>
            <w:top w:val="none" w:sz="0" w:space="0" w:color="auto"/>
            <w:left w:val="none" w:sz="0" w:space="0" w:color="auto"/>
            <w:bottom w:val="none" w:sz="0" w:space="0" w:color="auto"/>
            <w:right w:val="none" w:sz="0" w:space="0" w:color="auto"/>
          </w:divBdr>
        </w:div>
        <w:div w:id="1532496015">
          <w:marLeft w:val="0"/>
          <w:marRight w:val="12"/>
          <w:marTop w:val="0"/>
          <w:marBottom w:val="0"/>
          <w:divBdr>
            <w:top w:val="none" w:sz="0" w:space="0" w:color="auto"/>
            <w:left w:val="none" w:sz="0" w:space="0" w:color="auto"/>
            <w:bottom w:val="none" w:sz="0" w:space="0" w:color="auto"/>
            <w:right w:val="none" w:sz="0" w:space="0" w:color="auto"/>
          </w:divBdr>
        </w:div>
        <w:div w:id="947077545">
          <w:marLeft w:val="0"/>
          <w:marRight w:val="12"/>
          <w:marTop w:val="0"/>
          <w:marBottom w:val="0"/>
          <w:divBdr>
            <w:top w:val="none" w:sz="0" w:space="0" w:color="auto"/>
            <w:left w:val="none" w:sz="0" w:space="0" w:color="auto"/>
            <w:bottom w:val="none" w:sz="0" w:space="0" w:color="auto"/>
            <w:right w:val="none" w:sz="0" w:space="0" w:color="auto"/>
          </w:divBdr>
        </w:div>
        <w:div w:id="72245842">
          <w:marLeft w:val="0"/>
          <w:marRight w:val="12"/>
          <w:marTop w:val="0"/>
          <w:marBottom w:val="0"/>
          <w:divBdr>
            <w:top w:val="none" w:sz="0" w:space="0" w:color="auto"/>
            <w:left w:val="none" w:sz="0" w:space="0" w:color="auto"/>
            <w:bottom w:val="none" w:sz="0" w:space="0" w:color="auto"/>
            <w:right w:val="none" w:sz="0" w:space="0" w:color="auto"/>
          </w:divBdr>
        </w:div>
        <w:div w:id="1990012022">
          <w:marLeft w:val="0"/>
          <w:marRight w:val="12"/>
          <w:marTop w:val="0"/>
          <w:marBottom w:val="0"/>
          <w:divBdr>
            <w:top w:val="none" w:sz="0" w:space="0" w:color="auto"/>
            <w:left w:val="none" w:sz="0" w:space="0" w:color="auto"/>
            <w:bottom w:val="none" w:sz="0" w:space="0" w:color="auto"/>
            <w:right w:val="none" w:sz="0" w:space="0" w:color="auto"/>
          </w:divBdr>
        </w:div>
        <w:div w:id="1132790640">
          <w:marLeft w:val="0"/>
          <w:marRight w:val="12"/>
          <w:marTop w:val="0"/>
          <w:marBottom w:val="0"/>
          <w:divBdr>
            <w:top w:val="none" w:sz="0" w:space="0" w:color="auto"/>
            <w:left w:val="none" w:sz="0" w:space="0" w:color="auto"/>
            <w:bottom w:val="none" w:sz="0" w:space="0" w:color="auto"/>
            <w:right w:val="none" w:sz="0" w:space="0" w:color="auto"/>
          </w:divBdr>
        </w:div>
        <w:div w:id="1927959445">
          <w:marLeft w:val="0"/>
          <w:marRight w:val="12"/>
          <w:marTop w:val="0"/>
          <w:marBottom w:val="0"/>
          <w:divBdr>
            <w:top w:val="none" w:sz="0" w:space="0" w:color="auto"/>
            <w:left w:val="none" w:sz="0" w:space="0" w:color="auto"/>
            <w:bottom w:val="none" w:sz="0" w:space="0" w:color="auto"/>
            <w:right w:val="none" w:sz="0" w:space="0" w:color="auto"/>
          </w:divBdr>
        </w:div>
      </w:divsChild>
    </w:div>
    <w:div w:id="129522583">
      <w:bodyDiv w:val="1"/>
      <w:marLeft w:val="0"/>
      <w:marRight w:val="0"/>
      <w:marTop w:val="0"/>
      <w:marBottom w:val="0"/>
      <w:divBdr>
        <w:top w:val="none" w:sz="0" w:space="0" w:color="auto"/>
        <w:left w:val="none" w:sz="0" w:space="0" w:color="auto"/>
        <w:bottom w:val="none" w:sz="0" w:space="0" w:color="auto"/>
        <w:right w:val="none" w:sz="0" w:space="0" w:color="auto"/>
      </w:divBdr>
    </w:div>
    <w:div w:id="209996349">
      <w:bodyDiv w:val="1"/>
      <w:marLeft w:val="0"/>
      <w:marRight w:val="0"/>
      <w:marTop w:val="0"/>
      <w:marBottom w:val="0"/>
      <w:divBdr>
        <w:top w:val="none" w:sz="0" w:space="0" w:color="auto"/>
        <w:left w:val="none" w:sz="0" w:space="0" w:color="auto"/>
        <w:bottom w:val="none" w:sz="0" w:space="0" w:color="auto"/>
        <w:right w:val="none" w:sz="0" w:space="0" w:color="auto"/>
      </w:divBdr>
    </w:div>
    <w:div w:id="232937167">
      <w:bodyDiv w:val="1"/>
      <w:marLeft w:val="0"/>
      <w:marRight w:val="0"/>
      <w:marTop w:val="0"/>
      <w:marBottom w:val="0"/>
      <w:divBdr>
        <w:top w:val="none" w:sz="0" w:space="0" w:color="auto"/>
        <w:left w:val="none" w:sz="0" w:space="0" w:color="auto"/>
        <w:bottom w:val="none" w:sz="0" w:space="0" w:color="auto"/>
        <w:right w:val="none" w:sz="0" w:space="0" w:color="auto"/>
      </w:divBdr>
    </w:div>
    <w:div w:id="244386927">
      <w:bodyDiv w:val="1"/>
      <w:marLeft w:val="0"/>
      <w:marRight w:val="0"/>
      <w:marTop w:val="0"/>
      <w:marBottom w:val="0"/>
      <w:divBdr>
        <w:top w:val="none" w:sz="0" w:space="0" w:color="auto"/>
        <w:left w:val="none" w:sz="0" w:space="0" w:color="auto"/>
        <w:bottom w:val="none" w:sz="0" w:space="0" w:color="auto"/>
        <w:right w:val="none" w:sz="0" w:space="0" w:color="auto"/>
      </w:divBdr>
    </w:div>
    <w:div w:id="249705475">
      <w:bodyDiv w:val="1"/>
      <w:marLeft w:val="0"/>
      <w:marRight w:val="0"/>
      <w:marTop w:val="0"/>
      <w:marBottom w:val="0"/>
      <w:divBdr>
        <w:top w:val="none" w:sz="0" w:space="0" w:color="auto"/>
        <w:left w:val="none" w:sz="0" w:space="0" w:color="auto"/>
        <w:bottom w:val="none" w:sz="0" w:space="0" w:color="auto"/>
        <w:right w:val="none" w:sz="0" w:space="0" w:color="auto"/>
      </w:divBdr>
    </w:div>
    <w:div w:id="276449202">
      <w:bodyDiv w:val="1"/>
      <w:marLeft w:val="0"/>
      <w:marRight w:val="0"/>
      <w:marTop w:val="0"/>
      <w:marBottom w:val="0"/>
      <w:divBdr>
        <w:top w:val="none" w:sz="0" w:space="0" w:color="auto"/>
        <w:left w:val="none" w:sz="0" w:space="0" w:color="auto"/>
        <w:bottom w:val="none" w:sz="0" w:space="0" w:color="auto"/>
        <w:right w:val="none" w:sz="0" w:space="0" w:color="auto"/>
      </w:divBdr>
    </w:div>
    <w:div w:id="285694588">
      <w:bodyDiv w:val="1"/>
      <w:marLeft w:val="0"/>
      <w:marRight w:val="0"/>
      <w:marTop w:val="0"/>
      <w:marBottom w:val="0"/>
      <w:divBdr>
        <w:top w:val="none" w:sz="0" w:space="0" w:color="auto"/>
        <w:left w:val="none" w:sz="0" w:space="0" w:color="auto"/>
        <w:bottom w:val="none" w:sz="0" w:space="0" w:color="auto"/>
        <w:right w:val="none" w:sz="0" w:space="0" w:color="auto"/>
      </w:divBdr>
    </w:div>
    <w:div w:id="347146804">
      <w:bodyDiv w:val="1"/>
      <w:marLeft w:val="0"/>
      <w:marRight w:val="0"/>
      <w:marTop w:val="0"/>
      <w:marBottom w:val="0"/>
      <w:divBdr>
        <w:top w:val="none" w:sz="0" w:space="0" w:color="auto"/>
        <w:left w:val="none" w:sz="0" w:space="0" w:color="auto"/>
        <w:bottom w:val="none" w:sz="0" w:space="0" w:color="auto"/>
        <w:right w:val="none" w:sz="0" w:space="0" w:color="auto"/>
      </w:divBdr>
    </w:div>
    <w:div w:id="359553211">
      <w:bodyDiv w:val="1"/>
      <w:marLeft w:val="0"/>
      <w:marRight w:val="0"/>
      <w:marTop w:val="0"/>
      <w:marBottom w:val="0"/>
      <w:divBdr>
        <w:top w:val="none" w:sz="0" w:space="0" w:color="auto"/>
        <w:left w:val="none" w:sz="0" w:space="0" w:color="auto"/>
        <w:bottom w:val="none" w:sz="0" w:space="0" w:color="auto"/>
        <w:right w:val="none" w:sz="0" w:space="0" w:color="auto"/>
      </w:divBdr>
    </w:div>
    <w:div w:id="411244864">
      <w:bodyDiv w:val="1"/>
      <w:marLeft w:val="0"/>
      <w:marRight w:val="0"/>
      <w:marTop w:val="0"/>
      <w:marBottom w:val="0"/>
      <w:divBdr>
        <w:top w:val="none" w:sz="0" w:space="0" w:color="auto"/>
        <w:left w:val="none" w:sz="0" w:space="0" w:color="auto"/>
        <w:bottom w:val="none" w:sz="0" w:space="0" w:color="auto"/>
        <w:right w:val="none" w:sz="0" w:space="0" w:color="auto"/>
      </w:divBdr>
    </w:div>
    <w:div w:id="417554408">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0293160">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22024631">
      <w:bodyDiv w:val="1"/>
      <w:marLeft w:val="0"/>
      <w:marRight w:val="0"/>
      <w:marTop w:val="0"/>
      <w:marBottom w:val="0"/>
      <w:divBdr>
        <w:top w:val="none" w:sz="0" w:space="0" w:color="auto"/>
        <w:left w:val="none" w:sz="0" w:space="0" w:color="auto"/>
        <w:bottom w:val="none" w:sz="0" w:space="0" w:color="auto"/>
        <w:right w:val="none" w:sz="0" w:space="0" w:color="auto"/>
      </w:divBdr>
    </w:div>
    <w:div w:id="738477691">
      <w:bodyDiv w:val="1"/>
      <w:marLeft w:val="0"/>
      <w:marRight w:val="0"/>
      <w:marTop w:val="0"/>
      <w:marBottom w:val="0"/>
      <w:divBdr>
        <w:top w:val="none" w:sz="0" w:space="0" w:color="auto"/>
        <w:left w:val="none" w:sz="0" w:space="0" w:color="auto"/>
        <w:bottom w:val="none" w:sz="0" w:space="0" w:color="auto"/>
        <w:right w:val="none" w:sz="0" w:space="0" w:color="auto"/>
      </w:divBdr>
    </w:div>
    <w:div w:id="742944462">
      <w:bodyDiv w:val="1"/>
      <w:marLeft w:val="0"/>
      <w:marRight w:val="0"/>
      <w:marTop w:val="0"/>
      <w:marBottom w:val="0"/>
      <w:divBdr>
        <w:top w:val="none" w:sz="0" w:space="0" w:color="auto"/>
        <w:left w:val="none" w:sz="0" w:space="0" w:color="auto"/>
        <w:bottom w:val="none" w:sz="0" w:space="0" w:color="auto"/>
        <w:right w:val="none" w:sz="0" w:space="0" w:color="auto"/>
      </w:divBdr>
    </w:div>
    <w:div w:id="821116161">
      <w:bodyDiv w:val="1"/>
      <w:marLeft w:val="0"/>
      <w:marRight w:val="0"/>
      <w:marTop w:val="0"/>
      <w:marBottom w:val="0"/>
      <w:divBdr>
        <w:top w:val="none" w:sz="0" w:space="0" w:color="auto"/>
        <w:left w:val="none" w:sz="0" w:space="0" w:color="auto"/>
        <w:bottom w:val="none" w:sz="0" w:space="0" w:color="auto"/>
        <w:right w:val="none" w:sz="0" w:space="0" w:color="auto"/>
      </w:divBdr>
    </w:div>
    <w:div w:id="825246016">
      <w:bodyDiv w:val="1"/>
      <w:marLeft w:val="0"/>
      <w:marRight w:val="0"/>
      <w:marTop w:val="0"/>
      <w:marBottom w:val="0"/>
      <w:divBdr>
        <w:top w:val="none" w:sz="0" w:space="0" w:color="auto"/>
        <w:left w:val="none" w:sz="0" w:space="0" w:color="auto"/>
        <w:bottom w:val="none" w:sz="0" w:space="0" w:color="auto"/>
        <w:right w:val="none" w:sz="0" w:space="0" w:color="auto"/>
      </w:divBdr>
    </w:div>
    <w:div w:id="854540409">
      <w:bodyDiv w:val="1"/>
      <w:marLeft w:val="0"/>
      <w:marRight w:val="0"/>
      <w:marTop w:val="0"/>
      <w:marBottom w:val="0"/>
      <w:divBdr>
        <w:top w:val="none" w:sz="0" w:space="0" w:color="auto"/>
        <w:left w:val="none" w:sz="0" w:space="0" w:color="auto"/>
        <w:bottom w:val="none" w:sz="0" w:space="0" w:color="auto"/>
        <w:right w:val="none" w:sz="0" w:space="0" w:color="auto"/>
      </w:divBdr>
    </w:div>
    <w:div w:id="876234480">
      <w:bodyDiv w:val="1"/>
      <w:marLeft w:val="0"/>
      <w:marRight w:val="0"/>
      <w:marTop w:val="0"/>
      <w:marBottom w:val="0"/>
      <w:divBdr>
        <w:top w:val="none" w:sz="0" w:space="0" w:color="auto"/>
        <w:left w:val="none" w:sz="0" w:space="0" w:color="auto"/>
        <w:bottom w:val="none" w:sz="0" w:space="0" w:color="auto"/>
        <w:right w:val="none" w:sz="0" w:space="0" w:color="auto"/>
      </w:divBdr>
    </w:div>
    <w:div w:id="887494625">
      <w:bodyDiv w:val="1"/>
      <w:marLeft w:val="0"/>
      <w:marRight w:val="0"/>
      <w:marTop w:val="0"/>
      <w:marBottom w:val="0"/>
      <w:divBdr>
        <w:top w:val="none" w:sz="0" w:space="0" w:color="auto"/>
        <w:left w:val="none" w:sz="0" w:space="0" w:color="auto"/>
        <w:bottom w:val="none" w:sz="0" w:space="0" w:color="auto"/>
        <w:right w:val="none" w:sz="0" w:space="0" w:color="auto"/>
      </w:divBdr>
    </w:div>
    <w:div w:id="980354524">
      <w:bodyDiv w:val="1"/>
      <w:marLeft w:val="0"/>
      <w:marRight w:val="0"/>
      <w:marTop w:val="0"/>
      <w:marBottom w:val="0"/>
      <w:divBdr>
        <w:top w:val="none" w:sz="0" w:space="0" w:color="auto"/>
        <w:left w:val="none" w:sz="0" w:space="0" w:color="auto"/>
        <w:bottom w:val="none" w:sz="0" w:space="0" w:color="auto"/>
        <w:right w:val="none" w:sz="0" w:space="0" w:color="auto"/>
      </w:divBdr>
    </w:div>
    <w:div w:id="1012532164">
      <w:bodyDiv w:val="1"/>
      <w:marLeft w:val="0"/>
      <w:marRight w:val="0"/>
      <w:marTop w:val="0"/>
      <w:marBottom w:val="0"/>
      <w:divBdr>
        <w:top w:val="none" w:sz="0" w:space="0" w:color="auto"/>
        <w:left w:val="none" w:sz="0" w:space="0" w:color="auto"/>
        <w:bottom w:val="none" w:sz="0" w:space="0" w:color="auto"/>
        <w:right w:val="none" w:sz="0" w:space="0" w:color="auto"/>
      </w:divBdr>
    </w:div>
    <w:div w:id="1027756215">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95785986">
      <w:bodyDiv w:val="1"/>
      <w:marLeft w:val="0"/>
      <w:marRight w:val="0"/>
      <w:marTop w:val="0"/>
      <w:marBottom w:val="0"/>
      <w:divBdr>
        <w:top w:val="none" w:sz="0" w:space="0" w:color="auto"/>
        <w:left w:val="none" w:sz="0" w:space="0" w:color="auto"/>
        <w:bottom w:val="none" w:sz="0" w:space="0" w:color="auto"/>
        <w:right w:val="none" w:sz="0" w:space="0" w:color="auto"/>
      </w:divBdr>
    </w:div>
    <w:div w:id="1132676653">
      <w:bodyDiv w:val="1"/>
      <w:marLeft w:val="0"/>
      <w:marRight w:val="0"/>
      <w:marTop w:val="0"/>
      <w:marBottom w:val="0"/>
      <w:divBdr>
        <w:top w:val="none" w:sz="0" w:space="0" w:color="auto"/>
        <w:left w:val="none" w:sz="0" w:space="0" w:color="auto"/>
        <w:bottom w:val="none" w:sz="0" w:space="0" w:color="auto"/>
        <w:right w:val="none" w:sz="0" w:space="0" w:color="auto"/>
      </w:divBdr>
    </w:div>
    <w:div w:id="1153059379">
      <w:bodyDiv w:val="1"/>
      <w:marLeft w:val="0"/>
      <w:marRight w:val="0"/>
      <w:marTop w:val="0"/>
      <w:marBottom w:val="0"/>
      <w:divBdr>
        <w:top w:val="none" w:sz="0" w:space="0" w:color="auto"/>
        <w:left w:val="none" w:sz="0" w:space="0" w:color="auto"/>
        <w:bottom w:val="none" w:sz="0" w:space="0" w:color="auto"/>
        <w:right w:val="none" w:sz="0" w:space="0" w:color="auto"/>
      </w:divBdr>
    </w:div>
    <w:div w:id="1154568945">
      <w:bodyDiv w:val="1"/>
      <w:marLeft w:val="0"/>
      <w:marRight w:val="0"/>
      <w:marTop w:val="0"/>
      <w:marBottom w:val="0"/>
      <w:divBdr>
        <w:top w:val="none" w:sz="0" w:space="0" w:color="auto"/>
        <w:left w:val="none" w:sz="0" w:space="0" w:color="auto"/>
        <w:bottom w:val="none" w:sz="0" w:space="0" w:color="auto"/>
        <w:right w:val="none" w:sz="0" w:space="0" w:color="auto"/>
      </w:divBdr>
    </w:div>
    <w:div w:id="1251507243">
      <w:bodyDiv w:val="1"/>
      <w:marLeft w:val="0"/>
      <w:marRight w:val="0"/>
      <w:marTop w:val="0"/>
      <w:marBottom w:val="0"/>
      <w:divBdr>
        <w:top w:val="none" w:sz="0" w:space="0" w:color="auto"/>
        <w:left w:val="none" w:sz="0" w:space="0" w:color="auto"/>
        <w:bottom w:val="none" w:sz="0" w:space="0" w:color="auto"/>
        <w:right w:val="none" w:sz="0" w:space="0" w:color="auto"/>
      </w:divBdr>
    </w:div>
    <w:div w:id="1289822906">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8412147">
      <w:bodyDiv w:val="1"/>
      <w:marLeft w:val="0"/>
      <w:marRight w:val="0"/>
      <w:marTop w:val="0"/>
      <w:marBottom w:val="0"/>
      <w:divBdr>
        <w:top w:val="none" w:sz="0" w:space="0" w:color="auto"/>
        <w:left w:val="none" w:sz="0" w:space="0" w:color="auto"/>
        <w:bottom w:val="none" w:sz="0" w:space="0" w:color="auto"/>
        <w:right w:val="none" w:sz="0" w:space="0" w:color="auto"/>
      </w:divBdr>
    </w:div>
    <w:div w:id="1305038998">
      <w:bodyDiv w:val="1"/>
      <w:marLeft w:val="0"/>
      <w:marRight w:val="0"/>
      <w:marTop w:val="0"/>
      <w:marBottom w:val="0"/>
      <w:divBdr>
        <w:top w:val="none" w:sz="0" w:space="0" w:color="auto"/>
        <w:left w:val="none" w:sz="0" w:space="0" w:color="auto"/>
        <w:bottom w:val="none" w:sz="0" w:space="0" w:color="auto"/>
        <w:right w:val="none" w:sz="0" w:space="0" w:color="auto"/>
      </w:divBdr>
    </w:div>
    <w:div w:id="146670013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9607901">
      <w:bodyDiv w:val="1"/>
      <w:marLeft w:val="0"/>
      <w:marRight w:val="0"/>
      <w:marTop w:val="0"/>
      <w:marBottom w:val="0"/>
      <w:divBdr>
        <w:top w:val="none" w:sz="0" w:space="0" w:color="auto"/>
        <w:left w:val="none" w:sz="0" w:space="0" w:color="auto"/>
        <w:bottom w:val="none" w:sz="0" w:space="0" w:color="auto"/>
        <w:right w:val="none" w:sz="0" w:space="0" w:color="auto"/>
      </w:divBdr>
    </w:div>
    <w:div w:id="1717004140">
      <w:bodyDiv w:val="1"/>
      <w:marLeft w:val="0"/>
      <w:marRight w:val="0"/>
      <w:marTop w:val="0"/>
      <w:marBottom w:val="0"/>
      <w:divBdr>
        <w:top w:val="none" w:sz="0" w:space="0" w:color="auto"/>
        <w:left w:val="none" w:sz="0" w:space="0" w:color="auto"/>
        <w:bottom w:val="none" w:sz="0" w:space="0" w:color="auto"/>
        <w:right w:val="none" w:sz="0" w:space="0" w:color="auto"/>
      </w:divBdr>
    </w:div>
    <w:div w:id="1748304322">
      <w:bodyDiv w:val="1"/>
      <w:marLeft w:val="0"/>
      <w:marRight w:val="0"/>
      <w:marTop w:val="0"/>
      <w:marBottom w:val="0"/>
      <w:divBdr>
        <w:top w:val="none" w:sz="0" w:space="0" w:color="auto"/>
        <w:left w:val="none" w:sz="0" w:space="0" w:color="auto"/>
        <w:bottom w:val="none" w:sz="0" w:space="0" w:color="auto"/>
        <w:right w:val="none" w:sz="0" w:space="0" w:color="auto"/>
      </w:divBdr>
    </w:div>
    <w:div w:id="1788041356">
      <w:bodyDiv w:val="1"/>
      <w:marLeft w:val="0"/>
      <w:marRight w:val="0"/>
      <w:marTop w:val="0"/>
      <w:marBottom w:val="0"/>
      <w:divBdr>
        <w:top w:val="none" w:sz="0" w:space="0" w:color="auto"/>
        <w:left w:val="none" w:sz="0" w:space="0" w:color="auto"/>
        <w:bottom w:val="none" w:sz="0" w:space="0" w:color="auto"/>
        <w:right w:val="none" w:sz="0" w:space="0" w:color="auto"/>
      </w:divBdr>
    </w:div>
    <w:div w:id="1812752052">
      <w:bodyDiv w:val="1"/>
      <w:marLeft w:val="0"/>
      <w:marRight w:val="0"/>
      <w:marTop w:val="0"/>
      <w:marBottom w:val="0"/>
      <w:divBdr>
        <w:top w:val="none" w:sz="0" w:space="0" w:color="auto"/>
        <w:left w:val="none" w:sz="0" w:space="0" w:color="auto"/>
        <w:bottom w:val="none" w:sz="0" w:space="0" w:color="auto"/>
        <w:right w:val="none" w:sz="0" w:space="0" w:color="auto"/>
      </w:divBdr>
    </w:div>
    <w:div w:id="1849950407">
      <w:bodyDiv w:val="1"/>
      <w:marLeft w:val="0"/>
      <w:marRight w:val="0"/>
      <w:marTop w:val="0"/>
      <w:marBottom w:val="0"/>
      <w:divBdr>
        <w:top w:val="none" w:sz="0" w:space="0" w:color="auto"/>
        <w:left w:val="none" w:sz="0" w:space="0" w:color="auto"/>
        <w:bottom w:val="none" w:sz="0" w:space="0" w:color="auto"/>
        <w:right w:val="none" w:sz="0" w:space="0" w:color="auto"/>
      </w:divBdr>
    </w:div>
    <w:div w:id="1880586771">
      <w:bodyDiv w:val="1"/>
      <w:marLeft w:val="0"/>
      <w:marRight w:val="0"/>
      <w:marTop w:val="0"/>
      <w:marBottom w:val="0"/>
      <w:divBdr>
        <w:top w:val="none" w:sz="0" w:space="0" w:color="auto"/>
        <w:left w:val="none" w:sz="0" w:space="0" w:color="auto"/>
        <w:bottom w:val="none" w:sz="0" w:space="0" w:color="auto"/>
        <w:right w:val="none" w:sz="0" w:space="0" w:color="auto"/>
      </w:divBdr>
    </w:div>
    <w:div w:id="1894535518">
      <w:bodyDiv w:val="1"/>
      <w:marLeft w:val="0"/>
      <w:marRight w:val="0"/>
      <w:marTop w:val="0"/>
      <w:marBottom w:val="0"/>
      <w:divBdr>
        <w:top w:val="none" w:sz="0" w:space="0" w:color="auto"/>
        <w:left w:val="none" w:sz="0" w:space="0" w:color="auto"/>
        <w:bottom w:val="none" w:sz="0" w:space="0" w:color="auto"/>
        <w:right w:val="none" w:sz="0" w:space="0" w:color="auto"/>
      </w:divBdr>
    </w:div>
    <w:div w:id="1985966356">
      <w:bodyDiv w:val="1"/>
      <w:marLeft w:val="0"/>
      <w:marRight w:val="0"/>
      <w:marTop w:val="0"/>
      <w:marBottom w:val="0"/>
      <w:divBdr>
        <w:top w:val="none" w:sz="0" w:space="0" w:color="auto"/>
        <w:left w:val="none" w:sz="0" w:space="0" w:color="auto"/>
        <w:bottom w:val="none" w:sz="0" w:space="0" w:color="auto"/>
        <w:right w:val="none" w:sz="0" w:space="0" w:color="auto"/>
      </w:divBdr>
    </w:div>
    <w:div w:id="2047219027">
      <w:bodyDiv w:val="1"/>
      <w:marLeft w:val="0"/>
      <w:marRight w:val="0"/>
      <w:marTop w:val="0"/>
      <w:marBottom w:val="0"/>
      <w:divBdr>
        <w:top w:val="none" w:sz="0" w:space="0" w:color="auto"/>
        <w:left w:val="none" w:sz="0" w:space="0" w:color="auto"/>
        <w:bottom w:val="none" w:sz="0" w:space="0" w:color="auto"/>
        <w:right w:val="none" w:sz="0" w:space="0" w:color="auto"/>
      </w:divBdr>
    </w:div>
    <w:div w:id="2056928689">
      <w:bodyDiv w:val="1"/>
      <w:marLeft w:val="0"/>
      <w:marRight w:val="0"/>
      <w:marTop w:val="0"/>
      <w:marBottom w:val="0"/>
      <w:divBdr>
        <w:top w:val="none" w:sz="0" w:space="0" w:color="auto"/>
        <w:left w:val="none" w:sz="0" w:space="0" w:color="auto"/>
        <w:bottom w:val="none" w:sz="0" w:space="0" w:color="auto"/>
        <w:right w:val="none" w:sz="0" w:space="0" w:color="auto"/>
      </w:divBdr>
    </w:div>
    <w:div w:id="2073190305">
      <w:bodyDiv w:val="1"/>
      <w:marLeft w:val="0"/>
      <w:marRight w:val="0"/>
      <w:marTop w:val="0"/>
      <w:marBottom w:val="0"/>
      <w:divBdr>
        <w:top w:val="none" w:sz="0" w:space="0" w:color="auto"/>
        <w:left w:val="none" w:sz="0" w:space="0" w:color="auto"/>
        <w:bottom w:val="none" w:sz="0" w:space="0" w:color="auto"/>
        <w:right w:val="none" w:sz="0" w:space="0" w:color="auto"/>
      </w:divBdr>
    </w:div>
    <w:div w:id="2087877432">
      <w:bodyDiv w:val="1"/>
      <w:marLeft w:val="0"/>
      <w:marRight w:val="0"/>
      <w:marTop w:val="0"/>
      <w:marBottom w:val="0"/>
      <w:divBdr>
        <w:top w:val="none" w:sz="0" w:space="0" w:color="auto"/>
        <w:left w:val="none" w:sz="0" w:space="0" w:color="auto"/>
        <w:bottom w:val="none" w:sz="0" w:space="0" w:color="auto"/>
        <w:right w:val="none" w:sz="0" w:space="0" w:color="auto"/>
      </w:divBdr>
    </w:div>
    <w:div w:id="2104448195">
      <w:bodyDiv w:val="1"/>
      <w:marLeft w:val="0"/>
      <w:marRight w:val="0"/>
      <w:marTop w:val="0"/>
      <w:marBottom w:val="0"/>
      <w:divBdr>
        <w:top w:val="none" w:sz="0" w:space="0" w:color="auto"/>
        <w:left w:val="none" w:sz="0" w:space="0" w:color="auto"/>
        <w:bottom w:val="none" w:sz="0" w:space="0" w:color="auto"/>
        <w:right w:val="none" w:sz="0" w:space="0" w:color="auto"/>
      </w:divBdr>
    </w:div>
    <w:div w:id="21139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2F8D8-3E97-420E-A702-A3C72BE3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2021</Words>
  <Characters>14337</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2016. gada 15. jūlija noteikumos Nr. 472 “Publiskās lietošanas dzelzceļa infrastruktūras jaudas sadales noteikumi”” (VSS-1019)</vt:lpstr>
    </vt:vector>
  </TitlesOfParts>
  <Company>Vides aizsardzības un reģionālās attīstības ministrija</Company>
  <LinksUpToDate>false</LinksUpToDate>
  <CharactersWithSpaces>16326</CharactersWithSpaces>
  <SharedDoc>false</SharedDoc>
  <HLinks>
    <vt:vector size="18" baseType="variant">
      <vt:variant>
        <vt:i4>1638413</vt:i4>
      </vt:variant>
      <vt:variant>
        <vt:i4>6</vt:i4>
      </vt:variant>
      <vt:variant>
        <vt:i4>0</vt:i4>
      </vt:variant>
      <vt:variant>
        <vt:i4>5</vt:i4>
      </vt:variant>
      <vt:variant>
        <vt:lpwstr>http://www.mk.gov.lv/lv/mk/tap/?pid=40219151</vt:lpwstr>
      </vt:variant>
      <vt:variant>
        <vt:lpwstr/>
      </vt:variant>
      <vt:variant>
        <vt:i4>1572945</vt:i4>
      </vt:variant>
      <vt:variant>
        <vt:i4>3</vt:i4>
      </vt:variant>
      <vt:variant>
        <vt:i4>0</vt:i4>
      </vt:variant>
      <vt:variant>
        <vt:i4>5</vt:i4>
      </vt:variant>
      <vt:variant>
        <vt:lpwstr>http://www.vraa.gov.lv/uploads/petnieciba/petijumi/Pilsetu_lauku_mijiedarbiba_GALA_Zinojums.pdf</vt:lpwstr>
      </vt:variant>
      <vt:variant>
        <vt:lpwstr/>
      </vt:variant>
      <vt:variant>
        <vt:i4>2293801</vt:i4>
      </vt:variant>
      <vt:variant>
        <vt:i4>0</vt:i4>
      </vt:variant>
      <vt:variant>
        <vt:i4>0</vt:i4>
      </vt:variant>
      <vt:variant>
        <vt:i4>5</vt:i4>
      </vt:variant>
      <vt:variant>
        <vt:lpwstr>http://www.vraa.gov.lv/uploads/petnieciba/petijumi/Priekslikumi pilsetpolitikai_GALA_zinojums.pdf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2016. gada 15. jūlija noteikumos Nr. 472 “Publiskās lietošanas dzelzceļa infrastruktūras jaudas sadales noteikumi”” (VSS-1019)</dc:title>
  <dc:subject>Izziņa</dc:subject>
  <dc:creator>Ilze Jureviča</dc:creator>
  <cp:keywords>Izziņa</cp:keywords>
  <dc:description>Balaša 67028071
Santa.Balaša@sam.gov.lv</dc:description>
  <cp:lastModifiedBy>Santa Balaša</cp:lastModifiedBy>
  <cp:revision>5</cp:revision>
  <cp:lastPrinted>2018-12-03T10:16:00Z</cp:lastPrinted>
  <dcterms:created xsi:type="dcterms:W3CDTF">2021-03-02T13:39:00Z</dcterms:created>
  <dcterms:modified xsi:type="dcterms:W3CDTF">2021-03-02T14:45:00Z</dcterms:modified>
</cp:coreProperties>
</file>